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F839" w14:textId="77777777" w:rsidR="00F1516D" w:rsidRDefault="00F1516D" w:rsidP="00C6784F">
      <w:pPr>
        <w:rPr>
          <w:b/>
          <w:bCs/>
        </w:rPr>
      </w:pPr>
    </w:p>
    <w:p w14:paraId="43822C64" w14:textId="77777777" w:rsidR="00F1516D" w:rsidRDefault="00F1516D" w:rsidP="00C6784F">
      <w:pPr>
        <w:rPr>
          <w:b/>
          <w:bCs/>
        </w:rPr>
      </w:pPr>
    </w:p>
    <w:p w14:paraId="408D702A" w14:textId="77777777" w:rsidR="00F1516D" w:rsidRDefault="00F1516D" w:rsidP="00F1516D">
      <w:pPr>
        <w:jc w:val="center"/>
        <w:rPr>
          <w:b/>
          <w:bCs/>
          <w:sz w:val="32"/>
          <w:szCs w:val="32"/>
        </w:rPr>
      </w:pPr>
    </w:p>
    <w:p w14:paraId="06036907" w14:textId="33E9C5F1" w:rsidR="00F1516D" w:rsidRDefault="00F1516D" w:rsidP="00F1516D">
      <w:pPr>
        <w:jc w:val="center"/>
        <w:rPr>
          <w:b/>
          <w:bCs/>
          <w:sz w:val="32"/>
          <w:szCs w:val="32"/>
        </w:rPr>
      </w:pPr>
      <w:r w:rsidRPr="00F1516D">
        <w:rPr>
          <w:b/>
          <w:bCs/>
          <w:sz w:val="32"/>
          <w:szCs w:val="32"/>
        </w:rPr>
        <w:t>ISAB PAPER</w:t>
      </w:r>
      <w:r w:rsidR="00EA5A9F">
        <w:rPr>
          <w:b/>
          <w:bCs/>
          <w:sz w:val="32"/>
          <w:szCs w:val="32"/>
        </w:rPr>
        <w:t>- FINANCE REPORT</w:t>
      </w:r>
    </w:p>
    <w:p w14:paraId="3F0C9A91" w14:textId="77777777" w:rsidR="00F1516D" w:rsidRPr="00F1516D" w:rsidRDefault="00F1516D" w:rsidP="00F1516D">
      <w:pPr>
        <w:jc w:val="center"/>
        <w:rPr>
          <w:b/>
          <w:bCs/>
          <w:sz w:val="32"/>
          <w:szCs w:val="32"/>
        </w:rPr>
      </w:pPr>
    </w:p>
    <w:tbl>
      <w:tblPr>
        <w:tblStyle w:val="TableGrid"/>
        <w:tblW w:w="0" w:type="auto"/>
        <w:tblLook w:val="04A0" w:firstRow="1" w:lastRow="0" w:firstColumn="1" w:lastColumn="0" w:noHBand="0" w:noVBand="1"/>
      </w:tblPr>
      <w:tblGrid>
        <w:gridCol w:w="2830"/>
        <w:gridCol w:w="6186"/>
      </w:tblGrid>
      <w:tr w:rsidR="00F1516D" w14:paraId="129AC70F" w14:textId="77777777" w:rsidTr="00F1516D">
        <w:tc>
          <w:tcPr>
            <w:tcW w:w="2830" w:type="dxa"/>
          </w:tcPr>
          <w:p w14:paraId="6BAA6039" w14:textId="36C35060" w:rsidR="00F1516D" w:rsidRDefault="00F1516D" w:rsidP="00C6784F">
            <w:pPr>
              <w:rPr>
                <w:b/>
                <w:bCs/>
              </w:rPr>
            </w:pPr>
            <w:r w:rsidRPr="00D6787F">
              <w:rPr>
                <w:b/>
                <w:bCs/>
              </w:rPr>
              <w:t>Title:</w:t>
            </w:r>
          </w:p>
        </w:tc>
        <w:tc>
          <w:tcPr>
            <w:tcW w:w="6186" w:type="dxa"/>
          </w:tcPr>
          <w:p w14:paraId="3E2707C4" w14:textId="77777777" w:rsidR="00F1516D" w:rsidRDefault="00F1516D" w:rsidP="00F1516D">
            <w:r w:rsidRPr="001164A5">
              <w:t>Financ</w:t>
            </w:r>
            <w:r>
              <w:t>e</w:t>
            </w:r>
            <w:r w:rsidRPr="001164A5">
              <w:t xml:space="preserve"> </w:t>
            </w:r>
            <w:r>
              <w:t>r</w:t>
            </w:r>
            <w:r w:rsidRPr="001164A5">
              <w:t xml:space="preserve">eport </w:t>
            </w:r>
          </w:p>
          <w:p w14:paraId="023A5350" w14:textId="77777777" w:rsidR="00F1516D" w:rsidRDefault="00F1516D" w:rsidP="00C6784F">
            <w:pPr>
              <w:rPr>
                <w:b/>
                <w:bCs/>
              </w:rPr>
            </w:pPr>
          </w:p>
        </w:tc>
      </w:tr>
      <w:tr w:rsidR="00F1516D" w14:paraId="7832CCFB" w14:textId="77777777" w:rsidTr="00F1516D">
        <w:tc>
          <w:tcPr>
            <w:tcW w:w="2830" w:type="dxa"/>
          </w:tcPr>
          <w:p w14:paraId="56D33742" w14:textId="37723810" w:rsidR="00F1516D" w:rsidRDefault="00F1516D" w:rsidP="00C6784F">
            <w:pPr>
              <w:rPr>
                <w:b/>
                <w:bCs/>
              </w:rPr>
            </w:pPr>
            <w:r w:rsidRPr="00D6787F">
              <w:rPr>
                <w:b/>
                <w:bCs/>
              </w:rPr>
              <w:t>Author:</w:t>
            </w:r>
          </w:p>
        </w:tc>
        <w:tc>
          <w:tcPr>
            <w:tcW w:w="6186" w:type="dxa"/>
          </w:tcPr>
          <w:p w14:paraId="1E89F231" w14:textId="77777777" w:rsidR="00F1516D" w:rsidRDefault="00F1516D" w:rsidP="00F1516D">
            <w:r>
              <w:t>Elizabeth Byrne, Managing Director, ECS</w:t>
            </w:r>
          </w:p>
          <w:p w14:paraId="7FFBC147" w14:textId="77777777" w:rsidR="00F1516D" w:rsidRDefault="00F1516D" w:rsidP="00C6784F">
            <w:pPr>
              <w:rPr>
                <w:b/>
                <w:bCs/>
              </w:rPr>
            </w:pPr>
          </w:p>
        </w:tc>
      </w:tr>
      <w:tr w:rsidR="00F1516D" w14:paraId="5A1AA2C9" w14:textId="77777777" w:rsidTr="00F1516D">
        <w:tc>
          <w:tcPr>
            <w:tcW w:w="2830" w:type="dxa"/>
          </w:tcPr>
          <w:p w14:paraId="4FEEB3B1" w14:textId="2E4AF09B" w:rsidR="00F1516D" w:rsidRDefault="00F1516D" w:rsidP="00C6784F">
            <w:pPr>
              <w:rPr>
                <w:b/>
                <w:bCs/>
              </w:rPr>
            </w:pPr>
            <w:r w:rsidRPr="00D6787F">
              <w:rPr>
                <w:b/>
                <w:bCs/>
              </w:rPr>
              <w:t>Date of meeting:</w:t>
            </w:r>
          </w:p>
        </w:tc>
        <w:tc>
          <w:tcPr>
            <w:tcW w:w="6186" w:type="dxa"/>
          </w:tcPr>
          <w:p w14:paraId="1370668B" w14:textId="29AFD958" w:rsidR="00F1516D" w:rsidRPr="00F746A9" w:rsidRDefault="00F746A9" w:rsidP="006D766E">
            <w:r w:rsidRPr="00F746A9">
              <w:t>17 September 2025</w:t>
            </w:r>
          </w:p>
        </w:tc>
      </w:tr>
      <w:tr w:rsidR="00F1516D" w14:paraId="5A114423" w14:textId="77777777" w:rsidTr="00F1516D">
        <w:tc>
          <w:tcPr>
            <w:tcW w:w="2830" w:type="dxa"/>
          </w:tcPr>
          <w:p w14:paraId="4AE3CD04" w14:textId="6FB47814" w:rsidR="00F1516D" w:rsidRDefault="00F1516D" w:rsidP="00C6784F">
            <w:pPr>
              <w:rPr>
                <w:b/>
                <w:bCs/>
              </w:rPr>
            </w:pPr>
            <w:r w:rsidRPr="00D6787F">
              <w:rPr>
                <w:b/>
                <w:bCs/>
              </w:rPr>
              <w:t>Purpose of Paper:</w:t>
            </w:r>
            <w:r w:rsidRPr="001164A5">
              <w:t xml:space="preserve">  </w:t>
            </w:r>
          </w:p>
        </w:tc>
        <w:tc>
          <w:tcPr>
            <w:tcW w:w="6186" w:type="dxa"/>
          </w:tcPr>
          <w:p w14:paraId="75ADDDCE" w14:textId="1A0A4CDC" w:rsidR="00F1516D" w:rsidRDefault="00F1516D" w:rsidP="00F1516D">
            <w:r w:rsidRPr="001164A5">
              <w:t>To update the</w:t>
            </w:r>
            <w:r>
              <w:t xml:space="preserve"> Healthwatch Bedford borough (HBB)</w:t>
            </w:r>
            <w:r w:rsidRPr="001164A5">
              <w:t xml:space="preserve"> </w:t>
            </w:r>
            <w:r>
              <w:t>Independent Strategic Advisory Board (ISAB)</w:t>
            </w:r>
            <w:r w:rsidRPr="001164A5">
              <w:t xml:space="preserve"> on the financial position </w:t>
            </w:r>
            <w:r>
              <w:t xml:space="preserve">of Healthwatch up to and including the end of </w:t>
            </w:r>
            <w:r w:rsidR="00942EF1">
              <w:t>July</w:t>
            </w:r>
            <w:r>
              <w:t xml:space="preserve"> 2025 in the new </w:t>
            </w:r>
            <w:r w:rsidR="00942EF1">
              <w:t>current</w:t>
            </w:r>
            <w:r>
              <w:t xml:space="preserve"> year.</w:t>
            </w:r>
          </w:p>
          <w:p w14:paraId="203CDDAF" w14:textId="77777777" w:rsidR="00F1516D" w:rsidRDefault="00F1516D" w:rsidP="00C6784F">
            <w:pPr>
              <w:rPr>
                <w:b/>
                <w:bCs/>
              </w:rPr>
            </w:pPr>
          </w:p>
        </w:tc>
      </w:tr>
      <w:tr w:rsidR="00F1516D" w14:paraId="192FE71E" w14:textId="77777777" w:rsidTr="00F1516D">
        <w:tc>
          <w:tcPr>
            <w:tcW w:w="2830" w:type="dxa"/>
          </w:tcPr>
          <w:p w14:paraId="781E3F1A" w14:textId="2E7E33DF" w:rsidR="00F1516D" w:rsidRPr="00D6787F" w:rsidRDefault="00F1516D" w:rsidP="00C6784F">
            <w:pPr>
              <w:rPr>
                <w:b/>
                <w:bCs/>
              </w:rPr>
            </w:pPr>
            <w:r w:rsidRPr="00D6787F">
              <w:rPr>
                <w:b/>
                <w:bCs/>
              </w:rPr>
              <w:t>Key points:</w:t>
            </w:r>
          </w:p>
        </w:tc>
        <w:tc>
          <w:tcPr>
            <w:tcW w:w="6186" w:type="dxa"/>
          </w:tcPr>
          <w:p w14:paraId="3B67D3AA" w14:textId="5A31CEB2" w:rsidR="00F1516D" w:rsidRPr="001164A5" w:rsidRDefault="00F1516D" w:rsidP="00F1516D">
            <w:r>
              <w:t>The annual budget for 2025/</w:t>
            </w:r>
            <w:r w:rsidR="00F746A9">
              <w:t>2</w:t>
            </w:r>
            <w:r>
              <w:t xml:space="preserve">6 is £104,825 and additional income of £6,666 has also been confirmed for this year. The budget is managed in accordance with the financial predictions in the current </w:t>
            </w:r>
            <w:r w:rsidR="003A4D6F">
              <w:t>budget year</w:t>
            </w:r>
            <w:r>
              <w:t xml:space="preserve"> and there are no areas of concern.</w:t>
            </w:r>
          </w:p>
        </w:tc>
      </w:tr>
      <w:tr w:rsidR="00F1516D" w14:paraId="1C071C49" w14:textId="77777777" w:rsidTr="00F1516D">
        <w:tc>
          <w:tcPr>
            <w:tcW w:w="2830" w:type="dxa"/>
          </w:tcPr>
          <w:p w14:paraId="15E1E8FF" w14:textId="7DF686A2" w:rsidR="00F1516D" w:rsidRPr="00D6787F" w:rsidRDefault="00F1516D" w:rsidP="00C6784F">
            <w:pPr>
              <w:rPr>
                <w:b/>
                <w:bCs/>
              </w:rPr>
            </w:pPr>
            <w:r w:rsidRPr="00631950">
              <w:rPr>
                <w:b/>
                <w:bCs/>
              </w:rPr>
              <w:t>Action:</w:t>
            </w:r>
          </w:p>
        </w:tc>
        <w:tc>
          <w:tcPr>
            <w:tcW w:w="6186" w:type="dxa"/>
          </w:tcPr>
          <w:p w14:paraId="44061381" w14:textId="428BB1DE" w:rsidR="00F1516D" w:rsidRDefault="00F1516D" w:rsidP="00F1516D">
            <w:r>
              <w:t>The ISAB are invited to note the current financial position.</w:t>
            </w:r>
          </w:p>
          <w:p w14:paraId="16B43FFA" w14:textId="77777777" w:rsidR="00F1516D" w:rsidRDefault="00F1516D" w:rsidP="00F1516D"/>
        </w:tc>
      </w:tr>
    </w:tbl>
    <w:p w14:paraId="104E2501" w14:textId="77777777" w:rsidR="00F1516D" w:rsidRDefault="00F1516D" w:rsidP="00C6784F">
      <w:pPr>
        <w:rPr>
          <w:b/>
          <w:bCs/>
        </w:rPr>
      </w:pPr>
    </w:p>
    <w:p w14:paraId="78D2D0D9" w14:textId="77777777" w:rsidR="00631950" w:rsidRDefault="00631950" w:rsidP="00C6784F"/>
    <w:p w14:paraId="3034448E" w14:textId="77777777" w:rsidR="00EA5A9F" w:rsidRDefault="00EA5A9F" w:rsidP="00C6784F">
      <w:pPr>
        <w:rPr>
          <w:noProof/>
        </w:rPr>
      </w:pPr>
    </w:p>
    <w:p w14:paraId="2DDF6F4D" w14:textId="77777777" w:rsidR="00EA5A9F" w:rsidRDefault="00EA5A9F" w:rsidP="00C6784F">
      <w:pPr>
        <w:rPr>
          <w:noProof/>
        </w:rPr>
      </w:pPr>
    </w:p>
    <w:p w14:paraId="599A6CD6" w14:textId="77777777" w:rsidR="00EA5A9F" w:rsidRDefault="00EA5A9F" w:rsidP="00C6784F">
      <w:pPr>
        <w:rPr>
          <w:noProof/>
        </w:rPr>
      </w:pPr>
    </w:p>
    <w:p w14:paraId="05B7481B" w14:textId="77777777" w:rsidR="00EA5A9F" w:rsidRDefault="00EA5A9F" w:rsidP="00C6784F">
      <w:pPr>
        <w:rPr>
          <w:noProof/>
        </w:rPr>
      </w:pPr>
    </w:p>
    <w:p w14:paraId="6FE1C0D9" w14:textId="77777777" w:rsidR="00EA5A9F" w:rsidRDefault="00EA5A9F" w:rsidP="00C6784F">
      <w:pPr>
        <w:rPr>
          <w:noProof/>
        </w:rPr>
      </w:pPr>
    </w:p>
    <w:p w14:paraId="7B672947" w14:textId="77777777" w:rsidR="00EA5A9F" w:rsidRDefault="00EA5A9F" w:rsidP="00C6784F">
      <w:pPr>
        <w:rPr>
          <w:noProof/>
        </w:rPr>
      </w:pPr>
    </w:p>
    <w:p w14:paraId="17E95FB3" w14:textId="77777777" w:rsidR="00EA5A9F" w:rsidRDefault="00EA5A9F" w:rsidP="00C6784F">
      <w:pPr>
        <w:rPr>
          <w:noProof/>
        </w:rPr>
      </w:pPr>
    </w:p>
    <w:p w14:paraId="4D2DD873" w14:textId="77777777" w:rsidR="00EA5A9F" w:rsidRDefault="00EA5A9F" w:rsidP="00C6784F">
      <w:pPr>
        <w:rPr>
          <w:noProof/>
        </w:rPr>
      </w:pPr>
    </w:p>
    <w:p w14:paraId="08DCD316" w14:textId="77777777" w:rsidR="00EA5A9F" w:rsidRDefault="00EA5A9F" w:rsidP="00C6784F">
      <w:pPr>
        <w:rPr>
          <w:noProof/>
        </w:rPr>
      </w:pPr>
    </w:p>
    <w:p w14:paraId="3B7809AE" w14:textId="77777777" w:rsidR="00EA5A9F" w:rsidRDefault="00EA5A9F" w:rsidP="00C6784F">
      <w:pPr>
        <w:rPr>
          <w:noProof/>
        </w:rPr>
      </w:pPr>
    </w:p>
    <w:p w14:paraId="42B2D785" w14:textId="77777777" w:rsidR="00EA5A9F" w:rsidRDefault="00EA5A9F" w:rsidP="00C6784F">
      <w:pPr>
        <w:rPr>
          <w:noProof/>
        </w:rPr>
      </w:pPr>
    </w:p>
    <w:p w14:paraId="485242A2" w14:textId="77777777" w:rsidR="00782EAF" w:rsidRDefault="00782EAF" w:rsidP="00EA5A9F">
      <w:pPr>
        <w:jc w:val="center"/>
        <w:rPr>
          <w:b/>
          <w:bCs/>
          <w:sz w:val="32"/>
          <w:szCs w:val="32"/>
        </w:rPr>
      </w:pPr>
    </w:p>
    <w:p w14:paraId="6B8CDEF8" w14:textId="46550FF7" w:rsidR="00EA5A9F" w:rsidRDefault="00EA5A9F" w:rsidP="00EA5A9F">
      <w:pPr>
        <w:jc w:val="center"/>
        <w:rPr>
          <w:b/>
          <w:bCs/>
          <w:sz w:val="32"/>
          <w:szCs w:val="32"/>
        </w:rPr>
      </w:pPr>
      <w:r w:rsidRPr="00F1516D">
        <w:rPr>
          <w:b/>
          <w:bCs/>
          <w:sz w:val="32"/>
          <w:szCs w:val="32"/>
        </w:rPr>
        <w:t>ISAB PAPER</w:t>
      </w:r>
      <w:r>
        <w:rPr>
          <w:b/>
          <w:bCs/>
          <w:sz w:val="32"/>
          <w:szCs w:val="32"/>
        </w:rPr>
        <w:t>- FINANCE REPORT</w:t>
      </w:r>
    </w:p>
    <w:p w14:paraId="24ABBD60" w14:textId="77777777" w:rsidR="00EA5A9F" w:rsidRPr="00EA5A9F" w:rsidRDefault="00EA5A9F" w:rsidP="00C6784F">
      <w:pPr>
        <w:rPr>
          <w:b/>
          <w:bCs/>
          <w:noProof/>
          <w:sz w:val="32"/>
          <w:szCs w:val="32"/>
        </w:rPr>
      </w:pPr>
    </w:p>
    <w:p w14:paraId="042D4D31" w14:textId="77777777" w:rsidR="00EA5A9F" w:rsidRPr="00EA5A9F" w:rsidRDefault="00EA5A9F" w:rsidP="00C6784F">
      <w:pPr>
        <w:rPr>
          <w:b/>
          <w:bCs/>
          <w:noProof/>
          <w:sz w:val="32"/>
          <w:szCs w:val="32"/>
        </w:rPr>
      </w:pPr>
      <w:r w:rsidRPr="00EA5A9F">
        <w:rPr>
          <w:b/>
          <w:bCs/>
          <w:noProof/>
          <w:sz w:val="32"/>
          <w:szCs w:val="32"/>
        </w:rPr>
        <w:t xml:space="preserve">PURPOSE </w:t>
      </w:r>
    </w:p>
    <w:p w14:paraId="77D4502D" w14:textId="66137908" w:rsidR="00EA5A9F" w:rsidRDefault="00EA5A9F" w:rsidP="00EA5A9F">
      <w:pPr>
        <w:pStyle w:val="ListParagraph"/>
        <w:numPr>
          <w:ilvl w:val="0"/>
          <w:numId w:val="1"/>
        </w:numPr>
        <w:rPr>
          <w:noProof/>
        </w:rPr>
      </w:pPr>
      <w:r w:rsidRPr="00EA5A9F">
        <w:rPr>
          <w:noProof/>
        </w:rPr>
        <w:t>This paper summarises the</w:t>
      </w:r>
      <w:r>
        <w:rPr>
          <w:noProof/>
        </w:rPr>
        <w:t xml:space="preserve"> end accounts </w:t>
      </w:r>
      <w:r w:rsidR="00A40422">
        <w:rPr>
          <w:noProof/>
        </w:rPr>
        <w:t>for</w:t>
      </w:r>
      <w:r>
        <w:rPr>
          <w:noProof/>
        </w:rPr>
        <w:t xml:space="preserve"> the</w:t>
      </w:r>
      <w:r w:rsidRPr="00EA5A9F">
        <w:rPr>
          <w:noProof/>
        </w:rPr>
        <w:t xml:space="preserve"> year to date and forecast position at month</w:t>
      </w:r>
      <w:r>
        <w:rPr>
          <w:noProof/>
        </w:rPr>
        <w:t xml:space="preserve"> </w:t>
      </w:r>
      <w:r w:rsidR="00A40422">
        <w:rPr>
          <w:noProof/>
        </w:rPr>
        <w:t>4</w:t>
      </w:r>
      <w:r>
        <w:rPr>
          <w:noProof/>
        </w:rPr>
        <w:t xml:space="preserve"> (end of </w:t>
      </w:r>
      <w:r w:rsidR="00A40422">
        <w:rPr>
          <w:noProof/>
        </w:rPr>
        <w:t>July</w:t>
      </w:r>
      <w:r>
        <w:rPr>
          <w:noProof/>
        </w:rPr>
        <w:t>) 2025/6.</w:t>
      </w:r>
    </w:p>
    <w:p w14:paraId="3D460E2E" w14:textId="4994AB9C" w:rsidR="00EA5A9F" w:rsidRPr="00EA5A9F" w:rsidRDefault="00EA5A9F" w:rsidP="00EA5A9F">
      <w:pPr>
        <w:rPr>
          <w:b/>
          <w:bCs/>
          <w:noProof/>
          <w:sz w:val="32"/>
          <w:szCs w:val="32"/>
        </w:rPr>
      </w:pPr>
      <w:r w:rsidRPr="00EA5A9F">
        <w:rPr>
          <w:b/>
          <w:bCs/>
          <w:noProof/>
          <w:sz w:val="32"/>
          <w:szCs w:val="32"/>
        </w:rPr>
        <w:t>CONTEXT</w:t>
      </w:r>
      <w:r w:rsidR="007A26A8">
        <w:rPr>
          <w:b/>
          <w:bCs/>
          <w:noProof/>
          <w:sz w:val="32"/>
          <w:szCs w:val="32"/>
        </w:rPr>
        <w:t xml:space="preserve"> </w:t>
      </w:r>
    </w:p>
    <w:p w14:paraId="7ED4CA65" w14:textId="698A892D" w:rsidR="00EA5A9F" w:rsidRDefault="002061BB" w:rsidP="002061BB">
      <w:pPr>
        <w:pStyle w:val="ListParagraph"/>
        <w:numPr>
          <w:ilvl w:val="0"/>
          <w:numId w:val="2"/>
        </w:numPr>
        <w:rPr>
          <w:noProof/>
        </w:rPr>
      </w:pPr>
      <w:r>
        <w:rPr>
          <w:noProof/>
        </w:rPr>
        <w:t xml:space="preserve">HBB is delivered by Engaging Communities Solutions CIC </w:t>
      </w:r>
      <w:r w:rsidR="001248BD">
        <w:rPr>
          <w:noProof/>
        </w:rPr>
        <w:t>(ECS)</w:t>
      </w:r>
      <w:r>
        <w:rPr>
          <w:noProof/>
        </w:rPr>
        <w:t>who are commissioned by Bedford borough council</w:t>
      </w:r>
      <w:r w:rsidR="001248BD">
        <w:rPr>
          <w:noProof/>
        </w:rPr>
        <w:t>. The contract value for 2025/6 is £104,825 per annum. This amount was agreed as part of the tender process when the contract was awarded</w:t>
      </w:r>
      <w:r w:rsidR="003A4D6F">
        <w:rPr>
          <w:noProof/>
        </w:rPr>
        <w:t>,</w:t>
      </w:r>
      <w:r w:rsidR="001248BD">
        <w:rPr>
          <w:noProof/>
        </w:rPr>
        <w:t xml:space="preserve"> and is not subject to an inflationary increase. </w:t>
      </w:r>
    </w:p>
    <w:p w14:paraId="54DC4CE3" w14:textId="77777777" w:rsidR="007A26A8" w:rsidRDefault="007A26A8" w:rsidP="007A26A8">
      <w:pPr>
        <w:pStyle w:val="ListParagraph"/>
        <w:rPr>
          <w:noProof/>
        </w:rPr>
      </w:pPr>
    </w:p>
    <w:p w14:paraId="4CFBD223" w14:textId="4D53B845" w:rsidR="007A26A8" w:rsidRDefault="001248BD" w:rsidP="007A26A8">
      <w:pPr>
        <w:pStyle w:val="ListParagraph"/>
        <w:numPr>
          <w:ilvl w:val="0"/>
          <w:numId w:val="2"/>
        </w:numPr>
        <w:rPr>
          <w:noProof/>
        </w:rPr>
      </w:pPr>
      <w:r w:rsidRPr="001248BD">
        <w:rPr>
          <w:noProof/>
        </w:rPr>
        <w:t>As holder of the contract, E</w:t>
      </w:r>
      <w:r>
        <w:rPr>
          <w:noProof/>
        </w:rPr>
        <w:t>CS</w:t>
      </w:r>
      <w:r w:rsidRPr="001248BD">
        <w:rPr>
          <w:noProof/>
        </w:rPr>
        <w:t xml:space="preserve"> remain accountable for ensuring that Healthwatch is meeting its statutory and contractual requirements during the contract period. This will be governed by the E</w:t>
      </w:r>
      <w:r>
        <w:rPr>
          <w:noProof/>
        </w:rPr>
        <w:t>CS</w:t>
      </w:r>
      <w:r w:rsidRPr="001248BD">
        <w:rPr>
          <w:noProof/>
        </w:rPr>
        <w:t xml:space="preserve"> </w:t>
      </w:r>
      <w:r>
        <w:rPr>
          <w:noProof/>
        </w:rPr>
        <w:t>b</w:t>
      </w:r>
      <w:r w:rsidRPr="001248BD">
        <w:rPr>
          <w:noProof/>
        </w:rPr>
        <w:t xml:space="preserve">oard who provide strategic leadership and promote good governance and accountability on all contractual, legal, and financial duties of Healthwatch. </w:t>
      </w:r>
    </w:p>
    <w:p w14:paraId="4FF6DFFD" w14:textId="77777777" w:rsidR="007A26A8" w:rsidRDefault="007A26A8" w:rsidP="007A26A8">
      <w:pPr>
        <w:pStyle w:val="ListParagraph"/>
        <w:rPr>
          <w:noProof/>
        </w:rPr>
      </w:pPr>
    </w:p>
    <w:p w14:paraId="5D091A53" w14:textId="43E6056D" w:rsidR="001248BD" w:rsidRDefault="001248BD" w:rsidP="00C6784F">
      <w:pPr>
        <w:pStyle w:val="ListParagraph"/>
        <w:numPr>
          <w:ilvl w:val="0"/>
          <w:numId w:val="2"/>
        </w:numPr>
        <w:rPr>
          <w:noProof/>
        </w:rPr>
      </w:pPr>
      <w:r w:rsidRPr="001248BD">
        <w:rPr>
          <w:noProof/>
        </w:rPr>
        <w:t>The ECS Board retain responsibility for financial management, setting a local budget and allocating resources</w:t>
      </w:r>
      <w:r>
        <w:rPr>
          <w:noProof/>
        </w:rPr>
        <w:t xml:space="preserve"> and devolved responsibility for specific budget lines which include volunteer expenses, marketing and communications, staff expenses, stationary and postage and room hire and refreshments. The ECS board retains responsibility of the remaining budget lines, as managed by the Managing</w:t>
      </w:r>
      <w:r w:rsidR="007923B0">
        <w:rPr>
          <w:noProof/>
        </w:rPr>
        <w:t xml:space="preserve"> D</w:t>
      </w:r>
      <w:r>
        <w:rPr>
          <w:noProof/>
        </w:rPr>
        <w:t xml:space="preserve">irector. These include staffing, operating costs, research and office/ premises costs. </w:t>
      </w:r>
    </w:p>
    <w:p w14:paraId="49043E08" w14:textId="77777777" w:rsidR="007A26A8" w:rsidRDefault="007A26A8" w:rsidP="007A26A8">
      <w:pPr>
        <w:pStyle w:val="ListParagraph"/>
        <w:rPr>
          <w:noProof/>
        </w:rPr>
      </w:pPr>
    </w:p>
    <w:p w14:paraId="7AD2ABBB" w14:textId="49434F4B" w:rsidR="007A26A8" w:rsidRDefault="001248BD" w:rsidP="007A26A8">
      <w:pPr>
        <w:pStyle w:val="ListParagraph"/>
        <w:numPr>
          <w:ilvl w:val="0"/>
          <w:numId w:val="2"/>
        </w:numPr>
        <w:rPr>
          <w:noProof/>
        </w:rPr>
      </w:pPr>
      <w:r w:rsidRPr="001248BD">
        <w:rPr>
          <w:noProof/>
        </w:rPr>
        <w:t>Overseeing the day-to-day operations of Healthwatch will be the responsibility of the Healthwatch CEO in conjunction with the Managing Director of E</w:t>
      </w:r>
      <w:r>
        <w:rPr>
          <w:noProof/>
        </w:rPr>
        <w:t>CS</w:t>
      </w:r>
      <w:r w:rsidRPr="001248BD">
        <w:rPr>
          <w:noProof/>
        </w:rPr>
        <w:t>. However, the ISAB provide added independent lay insight and overview regarding delivery of the annual strategic work programme</w:t>
      </w:r>
      <w:r w:rsidR="007923B0">
        <w:rPr>
          <w:noProof/>
        </w:rPr>
        <w:t xml:space="preserve"> and for transparency and accounabibility, are provided with finance information to note. </w:t>
      </w:r>
      <w:r w:rsidRPr="001248BD">
        <w:rPr>
          <w:noProof/>
        </w:rPr>
        <w:t>  </w:t>
      </w:r>
    </w:p>
    <w:p w14:paraId="2F523510" w14:textId="77777777" w:rsidR="007A26A8" w:rsidRDefault="007A26A8" w:rsidP="007A26A8">
      <w:pPr>
        <w:pStyle w:val="ListParagraph"/>
        <w:rPr>
          <w:noProof/>
        </w:rPr>
      </w:pPr>
    </w:p>
    <w:p w14:paraId="04C0DB8C" w14:textId="52342A54" w:rsidR="007923B0" w:rsidRDefault="007923B0" w:rsidP="00C6784F">
      <w:pPr>
        <w:pStyle w:val="ListParagraph"/>
        <w:numPr>
          <w:ilvl w:val="0"/>
          <w:numId w:val="2"/>
        </w:numPr>
        <w:rPr>
          <w:noProof/>
        </w:rPr>
      </w:pPr>
      <w:r>
        <w:rPr>
          <w:noProof/>
        </w:rPr>
        <w:t xml:space="preserve">The figures as set out in this report for the year to date accounts, up to and including month </w:t>
      </w:r>
      <w:r w:rsidR="00782EAF">
        <w:rPr>
          <w:noProof/>
        </w:rPr>
        <w:t>4</w:t>
      </w:r>
      <w:r>
        <w:rPr>
          <w:noProof/>
        </w:rPr>
        <w:t xml:space="preserve"> (</w:t>
      </w:r>
      <w:r w:rsidR="00782EAF">
        <w:rPr>
          <w:noProof/>
        </w:rPr>
        <w:t>July</w:t>
      </w:r>
      <w:r>
        <w:rPr>
          <w:noProof/>
        </w:rPr>
        <w:t xml:space="preserve"> 2025)</w:t>
      </w:r>
      <w:r w:rsidRPr="007923B0">
        <w:rPr>
          <w:noProof/>
        </w:rPr>
        <w:t xml:space="preserve"> have been reviewed and assured by local offices and the </w:t>
      </w:r>
      <w:r>
        <w:rPr>
          <w:noProof/>
        </w:rPr>
        <w:t>corporate finance manager</w:t>
      </w:r>
      <w:r w:rsidRPr="007923B0">
        <w:rPr>
          <w:noProof/>
        </w:rPr>
        <w:t>, and from the monthly financial reports on central budgets</w:t>
      </w:r>
      <w:r>
        <w:rPr>
          <w:noProof/>
        </w:rPr>
        <w:t>.</w:t>
      </w:r>
    </w:p>
    <w:p w14:paraId="72AA0116" w14:textId="77777777" w:rsidR="00EA5A9F" w:rsidRDefault="00EA5A9F" w:rsidP="00C6784F">
      <w:pPr>
        <w:rPr>
          <w:noProof/>
        </w:rPr>
      </w:pPr>
    </w:p>
    <w:p w14:paraId="1F734447" w14:textId="77777777" w:rsidR="00782EAF" w:rsidRDefault="00782EAF" w:rsidP="00C6784F">
      <w:pPr>
        <w:rPr>
          <w:b/>
          <w:bCs/>
          <w:noProof/>
          <w:sz w:val="32"/>
          <w:szCs w:val="32"/>
        </w:rPr>
      </w:pPr>
    </w:p>
    <w:p w14:paraId="71A0172F" w14:textId="77777777" w:rsidR="00782EAF" w:rsidRDefault="00782EAF" w:rsidP="00C6784F">
      <w:pPr>
        <w:rPr>
          <w:b/>
          <w:bCs/>
          <w:noProof/>
          <w:sz w:val="32"/>
          <w:szCs w:val="32"/>
        </w:rPr>
      </w:pPr>
    </w:p>
    <w:p w14:paraId="774D75F9" w14:textId="77777777" w:rsidR="00782EAF" w:rsidRDefault="00782EAF" w:rsidP="00C6784F">
      <w:pPr>
        <w:rPr>
          <w:b/>
          <w:bCs/>
          <w:noProof/>
          <w:sz w:val="32"/>
          <w:szCs w:val="32"/>
        </w:rPr>
      </w:pPr>
    </w:p>
    <w:p w14:paraId="201327DE" w14:textId="25A6490E" w:rsidR="00EA5A9F" w:rsidRDefault="007A26A8" w:rsidP="00C6784F">
      <w:pPr>
        <w:rPr>
          <w:b/>
          <w:bCs/>
          <w:noProof/>
          <w:sz w:val="32"/>
          <w:szCs w:val="32"/>
        </w:rPr>
      </w:pPr>
      <w:r>
        <w:rPr>
          <w:b/>
          <w:bCs/>
          <w:noProof/>
          <w:sz w:val="32"/>
          <w:szCs w:val="32"/>
        </w:rPr>
        <w:t>ANALYSIS</w:t>
      </w:r>
    </w:p>
    <w:p w14:paraId="6D1A4FA3" w14:textId="27DB6C39" w:rsidR="00631950" w:rsidRDefault="00631950" w:rsidP="00C6784F"/>
    <w:p w14:paraId="22739EB5" w14:textId="5E2B1CED" w:rsidR="00D6787F" w:rsidRDefault="0056264C" w:rsidP="0056264C">
      <w:pPr>
        <w:pStyle w:val="ListParagraph"/>
        <w:numPr>
          <w:ilvl w:val="0"/>
          <w:numId w:val="3"/>
        </w:numPr>
        <w:rPr>
          <w:b/>
          <w:bCs/>
        </w:rPr>
      </w:pPr>
      <w:r w:rsidRPr="0056264C">
        <w:rPr>
          <w:b/>
          <w:bCs/>
        </w:rPr>
        <w:t>Current financial position</w:t>
      </w:r>
    </w:p>
    <w:p w14:paraId="4BFC85BF" w14:textId="7E55338E" w:rsidR="00D42328" w:rsidRDefault="0056264C" w:rsidP="0056264C">
      <w:r w:rsidRPr="003A4D6F">
        <w:t xml:space="preserve">The monthly management accounts are sent to both the </w:t>
      </w:r>
      <w:r w:rsidR="003A4D6F">
        <w:t xml:space="preserve">HBB </w:t>
      </w:r>
      <w:r w:rsidRPr="003A4D6F">
        <w:t xml:space="preserve">Chief Executive and Chair each month for review against budget lines. The </w:t>
      </w:r>
      <w:r w:rsidR="003A4D6F" w:rsidRPr="003A4D6F">
        <w:t>latest</w:t>
      </w:r>
      <w:r w:rsidRPr="003A4D6F">
        <w:t xml:space="preserve"> monthly accounts </w:t>
      </w:r>
      <w:r w:rsidR="003A4D6F" w:rsidRPr="003A4D6F">
        <w:t>available are</w:t>
      </w:r>
      <w:r w:rsidRPr="003A4D6F">
        <w:t xml:space="preserve"> for month </w:t>
      </w:r>
      <w:r w:rsidR="000D5490">
        <w:t>4 (July)</w:t>
      </w:r>
      <w:r w:rsidRPr="003A4D6F">
        <w:t xml:space="preserve">, </w:t>
      </w:r>
      <w:r w:rsidR="003A4D6F">
        <w:t xml:space="preserve">and a summary table of expenditure against budget lines is detailed below at </w:t>
      </w:r>
      <w:r w:rsidRPr="003A4D6F">
        <w:t xml:space="preserve">insert </w:t>
      </w:r>
      <w:r w:rsidR="00091575">
        <w:t>1</w:t>
      </w:r>
      <w:r w:rsidRPr="003A4D6F">
        <w:t xml:space="preserve">. </w:t>
      </w:r>
      <w:r w:rsidR="00D42328">
        <w:t>Since the previous meeting additional budget lines have been included for marketing costs (£750 per month from 1</w:t>
      </w:r>
      <w:r w:rsidR="00D42328" w:rsidRPr="00D42328">
        <w:rPr>
          <w:vertAlign w:val="superscript"/>
        </w:rPr>
        <w:t>st</w:t>
      </w:r>
      <w:r w:rsidR="00D42328">
        <w:t xml:space="preserve"> August)</w:t>
      </w:r>
      <w:r w:rsidR="00E43863">
        <w:t xml:space="preserve"> and</w:t>
      </w:r>
      <w:r w:rsidR="00D42328">
        <w:t xml:space="preserve"> ISAB meeting costs </w:t>
      </w:r>
      <w:r w:rsidR="00E43863">
        <w:t xml:space="preserve">£1,000 for the year. </w:t>
      </w:r>
      <w:r w:rsidR="001D4020">
        <w:t>The budget for these</w:t>
      </w:r>
      <w:r w:rsidR="00651A1F">
        <w:t xml:space="preserve"> costs</w:t>
      </w:r>
      <w:r w:rsidR="001D4020">
        <w:t xml:space="preserve"> </w:t>
      </w:r>
      <w:proofErr w:type="gramStart"/>
      <w:r w:rsidR="001D4020">
        <w:t>have</w:t>
      </w:r>
      <w:proofErr w:type="gramEnd"/>
      <w:r w:rsidR="001D4020">
        <w:t xml:space="preserve"> been taken f</w:t>
      </w:r>
      <w:r w:rsidR="00CB67D0">
        <w:t>ro</w:t>
      </w:r>
      <w:r w:rsidR="001D4020">
        <w:t xml:space="preserve">m the surplus in staff costs. </w:t>
      </w:r>
      <w:r w:rsidR="00D17C93">
        <w:t xml:space="preserve">In </w:t>
      </w:r>
      <w:proofErr w:type="gramStart"/>
      <w:r w:rsidR="00D17C93">
        <w:t>addition</w:t>
      </w:r>
      <w:proofErr w:type="gramEnd"/>
      <w:r w:rsidR="00D17C93">
        <w:t xml:space="preserve"> the budget for volunteer expenses has been increased </w:t>
      </w:r>
      <w:r w:rsidR="008C6F27">
        <w:t>from</w:t>
      </w:r>
      <w:r w:rsidR="00D17C93">
        <w:t xml:space="preserve"> £200 to £1,000 to cover anticipated costs during the rest of the year. T</w:t>
      </w:r>
      <w:r w:rsidR="008C6F27">
        <w:t xml:space="preserve">o compensate the staff expense budget has been reduced by £800. </w:t>
      </w:r>
    </w:p>
    <w:p w14:paraId="318F3AE1" w14:textId="16B9647C" w:rsidR="0056264C" w:rsidRDefault="00E83D5E" w:rsidP="0056264C">
      <w:r>
        <w:t xml:space="preserve">At present total expenditure is £3,229 below expected at this stage of the year with </w:t>
      </w:r>
      <w:r w:rsidR="00D774A4">
        <w:t>the only overspend at present is</w:t>
      </w:r>
      <w:r w:rsidR="00F373EE">
        <w:t xml:space="preserve"> for</w:t>
      </w:r>
      <w:r w:rsidR="00D774A4">
        <w:t xml:space="preserve"> the ISAB meeting costs</w:t>
      </w:r>
      <w:r w:rsidR="00F373EE">
        <w:t xml:space="preserve">, other costs are </w:t>
      </w:r>
      <w:r w:rsidR="007C559C">
        <w:t xml:space="preserve">all within </w:t>
      </w:r>
      <w:r w:rsidR="0056264C" w:rsidRPr="003A4D6F">
        <w:t xml:space="preserve">the </w:t>
      </w:r>
      <w:r w:rsidR="003A4D6F" w:rsidRPr="003A4D6F">
        <w:t>predicted</w:t>
      </w:r>
      <w:r w:rsidR="0056264C" w:rsidRPr="003A4D6F">
        <w:t xml:space="preserve"> range and there are no anomalies or areas of concern. </w:t>
      </w:r>
    </w:p>
    <w:p w14:paraId="72A8DEBD" w14:textId="7E38BFB8" w:rsidR="003A4D6F" w:rsidRDefault="003A4D6F" w:rsidP="0056264C">
      <w:r>
        <w:t>There is a small, predicted surplus for the end of the year currently which may change subject to any additional costs incurred throughout the year</w:t>
      </w:r>
      <w:r w:rsidR="00967879">
        <w:t xml:space="preserve"> and is </w:t>
      </w:r>
      <w:r w:rsidR="00121A1A">
        <w:t>dependent</w:t>
      </w:r>
      <w:r w:rsidR="00967879">
        <w:t xml:space="preserve"> on bringing in the budgeted additional income</w:t>
      </w:r>
      <w:r>
        <w:t>. The monthly accounts do not include the previous year underspend.</w:t>
      </w:r>
    </w:p>
    <w:p w14:paraId="549C6005" w14:textId="77777777" w:rsidR="003A4D6F" w:rsidRDefault="003A4D6F" w:rsidP="0056264C"/>
    <w:p w14:paraId="19BEBDDA" w14:textId="77777777" w:rsidR="003A4D6F" w:rsidRDefault="003A4D6F" w:rsidP="0056264C"/>
    <w:p w14:paraId="437F1089" w14:textId="7A1E6A0E" w:rsidR="003A4D6F" w:rsidRDefault="003A4D6F" w:rsidP="0056264C">
      <w:pPr>
        <w:rPr>
          <w:b/>
          <w:bCs/>
          <w:sz w:val="16"/>
          <w:szCs w:val="16"/>
        </w:rPr>
      </w:pPr>
      <w:r w:rsidRPr="003A4D6F">
        <w:rPr>
          <w:b/>
          <w:bCs/>
          <w:sz w:val="16"/>
          <w:szCs w:val="16"/>
        </w:rPr>
        <w:t xml:space="preserve">Insert </w:t>
      </w:r>
      <w:r w:rsidR="00091575">
        <w:rPr>
          <w:b/>
          <w:bCs/>
          <w:sz w:val="16"/>
          <w:szCs w:val="16"/>
        </w:rPr>
        <w:t>1</w:t>
      </w:r>
      <w:r>
        <w:rPr>
          <w:b/>
          <w:bCs/>
          <w:sz w:val="16"/>
          <w:szCs w:val="16"/>
        </w:rPr>
        <w:t xml:space="preserve">- monthly management accounts- </w:t>
      </w:r>
      <w:r w:rsidR="00121A1A">
        <w:rPr>
          <w:b/>
          <w:bCs/>
          <w:sz w:val="16"/>
          <w:szCs w:val="16"/>
        </w:rPr>
        <w:t>July</w:t>
      </w:r>
      <w:r>
        <w:rPr>
          <w:b/>
          <w:bCs/>
          <w:sz w:val="16"/>
          <w:szCs w:val="16"/>
        </w:rPr>
        <w:t xml:space="preserve"> 2025</w:t>
      </w:r>
    </w:p>
    <w:p w14:paraId="211861B9" w14:textId="77777777" w:rsidR="009D7F0B" w:rsidRDefault="009D7F0B" w:rsidP="0056264C">
      <w:pPr>
        <w:rPr>
          <w:b/>
          <w:bCs/>
          <w:sz w:val="16"/>
          <w:szCs w:val="16"/>
        </w:rPr>
      </w:pPr>
    </w:p>
    <w:p w14:paraId="534C13FF" w14:textId="0AC47A0D" w:rsidR="009D7F0B" w:rsidRPr="003A4D6F" w:rsidRDefault="008458D1" w:rsidP="0056264C">
      <w:pPr>
        <w:rPr>
          <w:b/>
          <w:bCs/>
          <w:sz w:val="16"/>
          <w:szCs w:val="16"/>
        </w:rPr>
      </w:pPr>
      <w:r w:rsidRPr="008458D1">
        <w:rPr>
          <w:noProof/>
        </w:rPr>
        <w:drawing>
          <wp:inline distT="0" distB="0" distL="0" distR="0" wp14:anchorId="11CD8D69" wp14:editId="16C7E209">
            <wp:extent cx="5731510" cy="1878330"/>
            <wp:effectExtent l="0" t="0" r="2540" b="7620"/>
            <wp:docPr id="148963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878330"/>
                    </a:xfrm>
                    <a:prstGeom prst="rect">
                      <a:avLst/>
                    </a:prstGeom>
                    <a:noFill/>
                    <a:ln>
                      <a:noFill/>
                    </a:ln>
                  </pic:spPr>
                </pic:pic>
              </a:graphicData>
            </a:graphic>
          </wp:inline>
        </w:drawing>
      </w:r>
    </w:p>
    <w:p w14:paraId="6D262D03" w14:textId="5E563383" w:rsidR="003A4D6F" w:rsidRDefault="003A4D6F" w:rsidP="0056264C">
      <w:pPr>
        <w:rPr>
          <w:noProof/>
        </w:rPr>
      </w:pPr>
    </w:p>
    <w:p w14:paraId="0C2A747F" w14:textId="77777777" w:rsidR="009D7F0B" w:rsidRPr="0056264C" w:rsidRDefault="009D7F0B" w:rsidP="0056264C">
      <w:pPr>
        <w:rPr>
          <w:b/>
          <w:bCs/>
        </w:rPr>
      </w:pPr>
    </w:p>
    <w:p w14:paraId="2407635C" w14:textId="77777777" w:rsidR="00782EAF" w:rsidRDefault="00782EAF" w:rsidP="0056264C">
      <w:pPr>
        <w:rPr>
          <w:b/>
          <w:bCs/>
          <w:sz w:val="32"/>
          <w:szCs w:val="32"/>
        </w:rPr>
      </w:pPr>
    </w:p>
    <w:p w14:paraId="7E2E03CF" w14:textId="77777777" w:rsidR="00782EAF" w:rsidRDefault="00782EAF" w:rsidP="0056264C">
      <w:pPr>
        <w:rPr>
          <w:b/>
          <w:bCs/>
          <w:sz w:val="32"/>
          <w:szCs w:val="32"/>
        </w:rPr>
      </w:pPr>
    </w:p>
    <w:p w14:paraId="703FBD2B" w14:textId="4A7B7B17" w:rsidR="0056264C" w:rsidRPr="0056264C" w:rsidRDefault="0056264C" w:rsidP="0056264C">
      <w:pPr>
        <w:rPr>
          <w:b/>
          <w:bCs/>
          <w:sz w:val="32"/>
          <w:szCs w:val="32"/>
        </w:rPr>
      </w:pPr>
      <w:r w:rsidRPr="0056264C">
        <w:rPr>
          <w:b/>
          <w:bCs/>
          <w:sz w:val="32"/>
          <w:szCs w:val="32"/>
        </w:rPr>
        <w:t xml:space="preserve">RECOMMENDATION </w:t>
      </w:r>
    </w:p>
    <w:p w14:paraId="1B5C43FC" w14:textId="22DA7711" w:rsidR="0056264C" w:rsidRDefault="0056264C" w:rsidP="0056264C">
      <w:r>
        <w:t>1</w:t>
      </w:r>
      <w:r w:rsidRPr="0056264C">
        <w:t>.The</w:t>
      </w:r>
      <w:r w:rsidR="003A4D6F">
        <w:t xml:space="preserve"> ISAB</w:t>
      </w:r>
      <w:r w:rsidRPr="0056264C">
        <w:t xml:space="preserve"> </w:t>
      </w:r>
      <w:r w:rsidR="003A4D6F">
        <w:t>members are</w:t>
      </w:r>
      <w:r w:rsidRPr="0056264C">
        <w:t xml:space="preserve"> asked to note the financial position for month </w:t>
      </w:r>
      <w:r w:rsidR="00782EAF">
        <w:t>4</w:t>
      </w:r>
      <w:r>
        <w:t xml:space="preserve"> (</w:t>
      </w:r>
      <w:r w:rsidR="00782EAF">
        <w:t>July</w:t>
      </w:r>
      <w:r>
        <w:t xml:space="preserve"> 2025) for 2025/6</w:t>
      </w:r>
      <w:r w:rsidR="00782EAF">
        <w:t>.</w:t>
      </w:r>
      <w:r>
        <w:t xml:space="preserve"> </w:t>
      </w:r>
    </w:p>
    <w:p w14:paraId="0C380957" w14:textId="0A555999" w:rsidR="0056264C" w:rsidRDefault="0056264C" w:rsidP="0056264C">
      <w:r w:rsidRPr="0056264C">
        <w:rPr>
          <w:b/>
          <w:bCs/>
        </w:rPr>
        <w:t>Author:</w:t>
      </w:r>
      <w:r w:rsidRPr="0056264C">
        <w:t xml:space="preserve"> </w:t>
      </w:r>
      <w:r>
        <w:t>Elizabeth Byrne, ECS Managing Director</w:t>
      </w:r>
    </w:p>
    <w:p w14:paraId="71E88B31" w14:textId="6BFB9E5C" w:rsidR="003A4D6F" w:rsidRDefault="003A4D6F" w:rsidP="0056264C">
      <w:r w:rsidRPr="003A4D6F">
        <w:rPr>
          <w:b/>
          <w:bCs/>
        </w:rPr>
        <w:t>Date:</w:t>
      </w:r>
      <w:r>
        <w:t xml:space="preserve"> </w:t>
      </w:r>
      <w:r w:rsidR="008458D1">
        <w:t>September 2025</w:t>
      </w:r>
    </w:p>
    <w:p w14:paraId="6421A2AA" w14:textId="77777777" w:rsidR="00D6787F" w:rsidRDefault="00D6787F" w:rsidP="00C6784F"/>
    <w:sectPr w:rsidR="00D678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8F6D" w14:textId="77777777" w:rsidR="0019632B" w:rsidRDefault="0019632B" w:rsidP="00C6784F">
      <w:pPr>
        <w:spacing w:after="0" w:line="240" w:lineRule="auto"/>
      </w:pPr>
      <w:r>
        <w:separator/>
      </w:r>
    </w:p>
  </w:endnote>
  <w:endnote w:type="continuationSeparator" w:id="0">
    <w:p w14:paraId="726E6961" w14:textId="77777777" w:rsidR="0019632B" w:rsidRDefault="0019632B" w:rsidP="00C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6145"/>
      <w:docPartObj>
        <w:docPartGallery w:val="Page Numbers (Bottom of Page)"/>
        <w:docPartUnique/>
      </w:docPartObj>
    </w:sdtPr>
    <w:sdtEndPr>
      <w:rPr>
        <w:noProof/>
      </w:rPr>
    </w:sdtEndPr>
    <w:sdtContent>
      <w:p w14:paraId="1A74E617" w14:textId="321F1D31" w:rsidR="0056264C" w:rsidRDefault="00562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9A7169" w14:textId="77777777" w:rsidR="0056264C" w:rsidRDefault="0056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BAF6" w14:textId="77777777" w:rsidR="0019632B" w:rsidRDefault="0019632B" w:rsidP="00C6784F">
      <w:pPr>
        <w:spacing w:after="0" w:line="240" w:lineRule="auto"/>
      </w:pPr>
      <w:r>
        <w:separator/>
      </w:r>
    </w:p>
  </w:footnote>
  <w:footnote w:type="continuationSeparator" w:id="0">
    <w:p w14:paraId="296347DF" w14:textId="77777777" w:rsidR="0019632B" w:rsidRDefault="0019632B" w:rsidP="00C6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B83A" w14:textId="73BD4EFD" w:rsidR="00C6784F" w:rsidRDefault="00C6784F">
    <w:pPr>
      <w:pStyle w:val="Header"/>
    </w:pPr>
    <w:r>
      <w:t xml:space="preserve">                                                                                                                                   </w:t>
    </w:r>
    <w:r>
      <w:rPr>
        <w:noProof/>
      </w:rPr>
      <w:drawing>
        <wp:inline distT="0" distB="0" distL="0" distR="0" wp14:anchorId="50C3A144" wp14:editId="6D5ED149">
          <wp:extent cx="1589088" cy="977900"/>
          <wp:effectExtent l="0" t="0" r="0" b="0"/>
          <wp:docPr id="721638836" name="Picture 1" descr="Healthwatch – Bedford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 Bedford Boroug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428" cy="979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E4A43"/>
    <w:multiLevelType w:val="hybridMultilevel"/>
    <w:tmpl w:val="F6A0F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960D0"/>
    <w:multiLevelType w:val="hybridMultilevel"/>
    <w:tmpl w:val="B4F80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615FA8"/>
    <w:multiLevelType w:val="hybridMultilevel"/>
    <w:tmpl w:val="1D5A8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5047CF"/>
    <w:multiLevelType w:val="hybridMultilevel"/>
    <w:tmpl w:val="A8D8D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20886">
    <w:abstractNumId w:val="2"/>
  </w:num>
  <w:num w:numId="2" w16cid:durableId="703137076">
    <w:abstractNumId w:val="1"/>
  </w:num>
  <w:num w:numId="3" w16cid:durableId="799542832">
    <w:abstractNumId w:val="0"/>
  </w:num>
  <w:num w:numId="4" w16cid:durableId="47800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4F"/>
    <w:rsid w:val="00091575"/>
    <w:rsid w:val="000A69EC"/>
    <w:rsid w:val="000D5490"/>
    <w:rsid w:val="00121A1A"/>
    <w:rsid w:val="001248BD"/>
    <w:rsid w:val="00132F5D"/>
    <w:rsid w:val="0019632B"/>
    <w:rsid w:val="001D4020"/>
    <w:rsid w:val="002061BB"/>
    <w:rsid w:val="003A4D6F"/>
    <w:rsid w:val="0044397A"/>
    <w:rsid w:val="0056264C"/>
    <w:rsid w:val="00631950"/>
    <w:rsid w:val="00651A1F"/>
    <w:rsid w:val="006D766E"/>
    <w:rsid w:val="00782EAF"/>
    <w:rsid w:val="007923B0"/>
    <w:rsid w:val="007A26A8"/>
    <w:rsid w:val="007C559C"/>
    <w:rsid w:val="008458D1"/>
    <w:rsid w:val="008737B1"/>
    <w:rsid w:val="008C4CEE"/>
    <w:rsid w:val="008C6F27"/>
    <w:rsid w:val="00942EF1"/>
    <w:rsid w:val="00967879"/>
    <w:rsid w:val="009D7F0B"/>
    <w:rsid w:val="00A40422"/>
    <w:rsid w:val="00AD4683"/>
    <w:rsid w:val="00B15D9E"/>
    <w:rsid w:val="00C6784F"/>
    <w:rsid w:val="00CB67D0"/>
    <w:rsid w:val="00CF5563"/>
    <w:rsid w:val="00D17C93"/>
    <w:rsid w:val="00D42328"/>
    <w:rsid w:val="00D6787F"/>
    <w:rsid w:val="00D774A4"/>
    <w:rsid w:val="00E43863"/>
    <w:rsid w:val="00E765EB"/>
    <w:rsid w:val="00E83D5E"/>
    <w:rsid w:val="00EA5A9F"/>
    <w:rsid w:val="00EE07F8"/>
    <w:rsid w:val="00F1516D"/>
    <w:rsid w:val="00F24B15"/>
    <w:rsid w:val="00F33C04"/>
    <w:rsid w:val="00F373EE"/>
    <w:rsid w:val="00F54B73"/>
    <w:rsid w:val="00F7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CA76"/>
  <w15:chartTrackingRefBased/>
  <w15:docId w15:val="{4D9AC0A0-BF45-4244-AC1B-4C5FED29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4F"/>
  </w:style>
  <w:style w:type="paragraph" w:styleId="Heading1">
    <w:name w:val="heading 1"/>
    <w:basedOn w:val="Normal"/>
    <w:next w:val="Normal"/>
    <w:link w:val="Heading1Char"/>
    <w:uiPriority w:val="9"/>
    <w:qFormat/>
    <w:rsid w:val="00C678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8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8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8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8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8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8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84F"/>
    <w:rPr>
      <w:rFonts w:eastAsiaTheme="majorEastAsia" w:cstheme="majorBidi"/>
      <w:color w:val="272727" w:themeColor="text1" w:themeTint="D8"/>
    </w:rPr>
  </w:style>
  <w:style w:type="paragraph" w:styleId="Title">
    <w:name w:val="Title"/>
    <w:basedOn w:val="Normal"/>
    <w:next w:val="Normal"/>
    <w:link w:val="TitleChar"/>
    <w:uiPriority w:val="10"/>
    <w:qFormat/>
    <w:rsid w:val="00C6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84F"/>
    <w:pPr>
      <w:spacing w:before="160"/>
      <w:jc w:val="center"/>
    </w:pPr>
    <w:rPr>
      <w:i/>
      <w:iCs/>
      <w:color w:val="404040" w:themeColor="text1" w:themeTint="BF"/>
    </w:rPr>
  </w:style>
  <w:style w:type="character" w:customStyle="1" w:styleId="QuoteChar">
    <w:name w:val="Quote Char"/>
    <w:basedOn w:val="DefaultParagraphFont"/>
    <w:link w:val="Quote"/>
    <w:uiPriority w:val="29"/>
    <w:rsid w:val="00C6784F"/>
    <w:rPr>
      <w:i/>
      <w:iCs/>
      <w:color w:val="404040" w:themeColor="text1" w:themeTint="BF"/>
    </w:rPr>
  </w:style>
  <w:style w:type="paragraph" w:styleId="ListParagraph">
    <w:name w:val="List Paragraph"/>
    <w:basedOn w:val="Normal"/>
    <w:uiPriority w:val="34"/>
    <w:qFormat/>
    <w:rsid w:val="00C6784F"/>
    <w:pPr>
      <w:ind w:left="720"/>
      <w:contextualSpacing/>
    </w:pPr>
  </w:style>
  <w:style w:type="character" w:styleId="IntenseEmphasis">
    <w:name w:val="Intense Emphasis"/>
    <w:basedOn w:val="DefaultParagraphFont"/>
    <w:uiPriority w:val="21"/>
    <w:qFormat/>
    <w:rsid w:val="00C6784F"/>
    <w:rPr>
      <w:i/>
      <w:iCs/>
      <w:color w:val="2F5496" w:themeColor="accent1" w:themeShade="BF"/>
    </w:rPr>
  </w:style>
  <w:style w:type="paragraph" w:styleId="IntenseQuote">
    <w:name w:val="Intense Quote"/>
    <w:basedOn w:val="Normal"/>
    <w:next w:val="Normal"/>
    <w:link w:val="IntenseQuoteChar"/>
    <w:uiPriority w:val="30"/>
    <w:qFormat/>
    <w:rsid w:val="00C67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84F"/>
    <w:rPr>
      <w:i/>
      <w:iCs/>
      <w:color w:val="2F5496" w:themeColor="accent1" w:themeShade="BF"/>
    </w:rPr>
  </w:style>
  <w:style w:type="character" w:styleId="IntenseReference">
    <w:name w:val="Intense Reference"/>
    <w:basedOn w:val="DefaultParagraphFont"/>
    <w:uiPriority w:val="32"/>
    <w:qFormat/>
    <w:rsid w:val="00C6784F"/>
    <w:rPr>
      <w:b/>
      <w:bCs/>
      <w:smallCaps/>
      <w:color w:val="2F5496" w:themeColor="accent1" w:themeShade="BF"/>
      <w:spacing w:val="5"/>
    </w:rPr>
  </w:style>
  <w:style w:type="paragraph" w:styleId="Header">
    <w:name w:val="header"/>
    <w:basedOn w:val="Normal"/>
    <w:link w:val="HeaderChar"/>
    <w:uiPriority w:val="99"/>
    <w:unhideWhenUsed/>
    <w:rsid w:val="00C67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84F"/>
  </w:style>
  <w:style w:type="paragraph" w:styleId="Footer">
    <w:name w:val="footer"/>
    <w:basedOn w:val="Normal"/>
    <w:link w:val="FooterChar"/>
    <w:uiPriority w:val="99"/>
    <w:unhideWhenUsed/>
    <w:rsid w:val="00C67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84F"/>
  </w:style>
  <w:style w:type="table" w:styleId="TableGrid">
    <w:name w:val="Table Grid"/>
    <w:basedOn w:val="TableNormal"/>
    <w:uiPriority w:val="39"/>
    <w:rsid w:val="00D6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3B0"/>
    <w:rPr>
      <w:color w:val="0563C1" w:themeColor="hyperlink"/>
      <w:u w:val="single"/>
    </w:rPr>
  </w:style>
  <w:style w:type="character" w:styleId="UnresolvedMention">
    <w:name w:val="Unresolved Mention"/>
    <w:basedOn w:val="DefaultParagraphFont"/>
    <w:uiPriority w:val="99"/>
    <w:semiHidden/>
    <w:unhideWhenUsed/>
    <w:rsid w:val="0079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Byrne</dc:creator>
  <cp:keywords/>
  <dc:description/>
  <cp:lastModifiedBy>Emma Freda</cp:lastModifiedBy>
  <cp:revision>2</cp:revision>
  <dcterms:created xsi:type="dcterms:W3CDTF">2025-09-08T11:29:00Z</dcterms:created>
  <dcterms:modified xsi:type="dcterms:W3CDTF">2025-09-08T11:29:00Z</dcterms:modified>
</cp:coreProperties>
</file>