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CD032" w14:textId="36ABFEA2" w:rsidR="00D636A5" w:rsidRPr="00D636A5" w:rsidRDefault="00D636A5">
      <w:pPr>
        <w:rPr>
          <w:rFonts w:ascii="Arial" w:hAnsi="Arial" w:cs="Arial"/>
        </w:rPr>
      </w:pPr>
    </w:p>
    <w:tbl>
      <w:tblPr>
        <w:tblStyle w:val="TableGrid"/>
        <w:tblW w:w="0" w:type="auto"/>
        <w:tblLook w:val="04A0" w:firstRow="1" w:lastRow="0" w:firstColumn="1" w:lastColumn="0" w:noHBand="0" w:noVBand="1"/>
      </w:tblPr>
      <w:tblGrid>
        <w:gridCol w:w="2547"/>
        <w:gridCol w:w="6469"/>
      </w:tblGrid>
      <w:tr w:rsidR="00F03CF7" w:rsidRPr="00D636A5" w14:paraId="40217BF2" w14:textId="77777777" w:rsidTr="00C12EFD">
        <w:tc>
          <w:tcPr>
            <w:tcW w:w="2547" w:type="dxa"/>
          </w:tcPr>
          <w:p w14:paraId="5EEAB188" w14:textId="590A8451" w:rsidR="00F03CF7" w:rsidRPr="00D636A5" w:rsidRDefault="00F03CF7">
            <w:pPr>
              <w:rPr>
                <w:rFonts w:ascii="Arial" w:hAnsi="Arial" w:cs="Arial"/>
                <w:b/>
              </w:rPr>
            </w:pPr>
            <w:r w:rsidRPr="00D636A5">
              <w:rPr>
                <w:rFonts w:ascii="Arial" w:hAnsi="Arial" w:cs="Arial"/>
                <w:b/>
              </w:rPr>
              <w:t xml:space="preserve">Title </w:t>
            </w:r>
          </w:p>
        </w:tc>
        <w:tc>
          <w:tcPr>
            <w:tcW w:w="6469" w:type="dxa"/>
          </w:tcPr>
          <w:p w14:paraId="12FFA386" w14:textId="36EE0B1F" w:rsidR="00F03CF7" w:rsidRDefault="00F7070C">
            <w:pPr>
              <w:rPr>
                <w:rFonts w:ascii="Arial" w:hAnsi="Arial" w:cs="Arial"/>
              </w:rPr>
            </w:pPr>
            <w:r>
              <w:rPr>
                <w:rFonts w:ascii="Arial" w:hAnsi="Arial" w:cs="Arial"/>
              </w:rPr>
              <w:t xml:space="preserve">ISAB self-assessment </w:t>
            </w:r>
            <w:r w:rsidR="0051444B">
              <w:rPr>
                <w:rFonts w:ascii="Arial" w:hAnsi="Arial" w:cs="Arial"/>
              </w:rPr>
              <w:t xml:space="preserve"> </w:t>
            </w:r>
          </w:p>
          <w:p w14:paraId="6CA990B6" w14:textId="393DCD74" w:rsidR="00D636A5" w:rsidRPr="00D636A5" w:rsidRDefault="00D636A5">
            <w:pPr>
              <w:rPr>
                <w:rFonts w:ascii="Arial" w:hAnsi="Arial" w:cs="Arial"/>
              </w:rPr>
            </w:pPr>
          </w:p>
        </w:tc>
      </w:tr>
      <w:tr w:rsidR="00F03CF7" w:rsidRPr="00D636A5" w14:paraId="77335DB7" w14:textId="77777777" w:rsidTr="00C12EFD">
        <w:tc>
          <w:tcPr>
            <w:tcW w:w="2547" w:type="dxa"/>
          </w:tcPr>
          <w:p w14:paraId="5F9CC70F" w14:textId="5769D57A" w:rsidR="00F03CF7" w:rsidRPr="00D636A5" w:rsidRDefault="00F03CF7">
            <w:pPr>
              <w:rPr>
                <w:rFonts w:ascii="Arial" w:hAnsi="Arial" w:cs="Arial"/>
                <w:b/>
              </w:rPr>
            </w:pPr>
            <w:r w:rsidRPr="00D636A5">
              <w:rPr>
                <w:rFonts w:ascii="Arial" w:hAnsi="Arial" w:cs="Arial"/>
                <w:b/>
              </w:rPr>
              <w:t>Author</w:t>
            </w:r>
          </w:p>
        </w:tc>
        <w:tc>
          <w:tcPr>
            <w:tcW w:w="6469" w:type="dxa"/>
          </w:tcPr>
          <w:p w14:paraId="22D3FA80" w14:textId="1DEC4377" w:rsidR="00F03CF7" w:rsidRDefault="0051444B">
            <w:pPr>
              <w:rPr>
                <w:rFonts w:ascii="Arial" w:hAnsi="Arial" w:cs="Arial"/>
              </w:rPr>
            </w:pPr>
            <w:r>
              <w:rPr>
                <w:rFonts w:ascii="Arial" w:hAnsi="Arial" w:cs="Arial"/>
              </w:rPr>
              <w:t xml:space="preserve">Aidan Vaughan Chair </w:t>
            </w:r>
            <w:r w:rsidR="00B438B5" w:rsidRPr="13CAF4D0">
              <w:rPr>
                <w:rFonts w:ascii="Arial" w:hAnsi="Arial" w:cs="Arial"/>
              </w:rPr>
              <w:t xml:space="preserve"> </w:t>
            </w:r>
            <w:r w:rsidR="00F03CF7" w:rsidRPr="13CAF4D0">
              <w:rPr>
                <w:rFonts w:ascii="Arial" w:hAnsi="Arial" w:cs="Arial"/>
              </w:rPr>
              <w:t xml:space="preserve"> </w:t>
            </w:r>
          </w:p>
          <w:p w14:paraId="1C8D639E" w14:textId="30FADBEE" w:rsidR="00D636A5" w:rsidRPr="00D636A5" w:rsidRDefault="00D636A5">
            <w:pPr>
              <w:rPr>
                <w:rFonts w:ascii="Arial" w:hAnsi="Arial" w:cs="Arial"/>
              </w:rPr>
            </w:pPr>
          </w:p>
        </w:tc>
      </w:tr>
      <w:tr w:rsidR="00F03CF7" w:rsidRPr="00D636A5" w14:paraId="35B562CB" w14:textId="77777777" w:rsidTr="00C12EFD">
        <w:tc>
          <w:tcPr>
            <w:tcW w:w="2547" w:type="dxa"/>
          </w:tcPr>
          <w:p w14:paraId="089F33F7" w14:textId="6812CEF3" w:rsidR="00F03CF7" w:rsidRPr="00D636A5" w:rsidRDefault="00F03CF7">
            <w:pPr>
              <w:rPr>
                <w:rFonts w:ascii="Arial" w:hAnsi="Arial" w:cs="Arial"/>
                <w:b/>
              </w:rPr>
            </w:pPr>
            <w:r w:rsidRPr="00D636A5">
              <w:rPr>
                <w:rFonts w:ascii="Arial" w:hAnsi="Arial" w:cs="Arial"/>
                <w:b/>
              </w:rPr>
              <w:t xml:space="preserve">Date of meeting </w:t>
            </w:r>
          </w:p>
        </w:tc>
        <w:tc>
          <w:tcPr>
            <w:tcW w:w="6469" w:type="dxa"/>
          </w:tcPr>
          <w:p w14:paraId="416DEBC6" w14:textId="7644D8A9" w:rsidR="00F03CF7" w:rsidRDefault="00F326AF" w:rsidP="00D636A5">
            <w:pPr>
              <w:rPr>
                <w:rFonts w:ascii="Arial" w:hAnsi="Arial" w:cs="Arial"/>
              </w:rPr>
            </w:pPr>
            <w:r>
              <w:rPr>
                <w:rFonts w:ascii="Arial" w:hAnsi="Arial" w:cs="Arial"/>
              </w:rPr>
              <w:t>20</w:t>
            </w:r>
            <w:r w:rsidR="00F03CF7" w:rsidRPr="13CAF4D0">
              <w:rPr>
                <w:rFonts w:ascii="Arial" w:hAnsi="Arial" w:cs="Arial"/>
              </w:rPr>
              <w:t xml:space="preserve"> </w:t>
            </w:r>
            <w:r>
              <w:rPr>
                <w:rFonts w:ascii="Arial" w:hAnsi="Arial" w:cs="Arial"/>
              </w:rPr>
              <w:t>August</w:t>
            </w:r>
            <w:r w:rsidR="00F03CF7" w:rsidRPr="13CAF4D0">
              <w:rPr>
                <w:rFonts w:ascii="Arial" w:hAnsi="Arial" w:cs="Arial"/>
              </w:rPr>
              <w:t xml:space="preserve"> 2025</w:t>
            </w:r>
          </w:p>
          <w:p w14:paraId="5E992F38" w14:textId="0AF70455" w:rsidR="00D636A5" w:rsidRPr="00D636A5" w:rsidRDefault="00D636A5" w:rsidP="00D636A5">
            <w:pPr>
              <w:rPr>
                <w:rFonts w:ascii="Arial" w:hAnsi="Arial" w:cs="Arial"/>
              </w:rPr>
            </w:pPr>
          </w:p>
        </w:tc>
      </w:tr>
      <w:tr w:rsidR="00F03CF7" w:rsidRPr="00D636A5" w14:paraId="2EEF292B" w14:textId="77777777" w:rsidTr="00C12EFD">
        <w:tc>
          <w:tcPr>
            <w:tcW w:w="2547" w:type="dxa"/>
          </w:tcPr>
          <w:p w14:paraId="0A9BCB5C" w14:textId="641EC1AC" w:rsidR="00F03CF7" w:rsidRPr="00D636A5" w:rsidRDefault="00F03CF7">
            <w:pPr>
              <w:rPr>
                <w:rFonts w:ascii="Arial" w:hAnsi="Arial" w:cs="Arial"/>
                <w:b/>
              </w:rPr>
            </w:pPr>
            <w:r w:rsidRPr="00D636A5">
              <w:rPr>
                <w:rFonts w:ascii="Arial" w:hAnsi="Arial" w:cs="Arial"/>
                <w:b/>
              </w:rPr>
              <w:t xml:space="preserve">Purpose of paper </w:t>
            </w:r>
          </w:p>
        </w:tc>
        <w:tc>
          <w:tcPr>
            <w:tcW w:w="6469" w:type="dxa"/>
          </w:tcPr>
          <w:p w14:paraId="32B954CD" w14:textId="25131780" w:rsidR="00F03CF7" w:rsidRDefault="00F03CF7">
            <w:pPr>
              <w:rPr>
                <w:rFonts w:ascii="Arial" w:hAnsi="Arial" w:cs="Arial"/>
              </w:rPr>
            </w:pPr>
            <w:r w:rsidRPr="13CAF4D0">
              <w:rPr>
                <w:rFonts w:ascii="Arial" w:hAnsi="Arial" w:cs="Arial"/>
              </w:rPr>
              <w:t xml:space="preserve">To </w:t>
            </w:r>
            <w:r w:rsidR="0051444B">
              <w:rPr>
                <w:rFonts w:ascii="Arial" w:hAnsi="Arial" w:cs="Arial"/>
              </w:rPr>
              <w:t xml:space="preserve">demonstrate internal scrutiny through </w:t>
            </w:r>
            <w:r w:rsidR="00F7070C">
              <w:rPr>
                <w:rFonts w:ascii="Arial" w:hAnsi="Arial" w:cs="Arial"/>
              </w:rPr>
              <w:t xml:space="preserve">self-assessment on board effectiveness. </w:t>
            </w:r>
            <w:r w:rsidR="0051444B">
              <w:rPr>
                <w:rFonts w:ascii="Arial" w:hAnsi="Arial" w:cs="Arial"/>
              </w:rPr>
              <w:t xml:space="preserve"> </w:t>
            </w:r>
            <w:r w:rsidR="00A14A84">
              <w:rPr>
                <w:rFonts w:ascii="Arial" w:hAnsi="Arial" w:cs="Arial"/>
              </w:rPr>
              <w:t xml:space="preserve"> </w:t>
            </w:r>
          </w:p>
          <w:p w14:paraId="15D53216" w14:textId="63F7C123" w:rsidR="00D636A5" w:rsidRPr="00D636A5" w:rsidRDefault="00D636A5">
            <w:pPr>
              <w:rPr>
                <w:rFonts w:ascii="Arial" w:hAnsi="Arial" w:cs="Arial"/>
              </w:rPr>
            </w:pPr>
          </w:p>
        </w:tc>
      </w:tr>
      <w:tr w:rsidR="00F03CF7" w:rsidRPr="00D636A5" w14:paraId="59F58A22" w14:textId="77777777" w:rsidTr="00C12EFD">
        <w:tc>
          <w:tcPr>
            <w:tcW w:w="2547" w:type="dxa"/>
          </w:tcPr>
          <w:p w14:paraId="280B32C9" w14:textId="16D26741" w:rsidR="00F03CF7" w:rsidRPr="00D636A5" w:rsidRDefault="00D636A5" w:rsidP="13CAF4D0">
            <w:pPr>
              <w:rPr>
                <w:rFonts w:ascii="Arial" w:hAnsi="Arial" w:cs="Arial"/>
                <w:b/>
                <w:bCs/>
              </w:rPr>
            </w:pPr>
            <w:r w:rsidRPr="13CAF4D0">
              <w:rPr>
                <w:rFonts w:ascii="Arial" w:hAnsi="Arial" w:cs="Arial"/>
                <w:b/>
                <w:bCs/>
              </w:rPr>
              <w:t>Summary</w:t>
            </w:r>
            <w:r w:rsidR="00F03CF7" w:rsidRPr="13CAF4D0">
              <w:rPr>
                <w:rFonts w:ascii="Arial" w:hAnsi="Arial" w:cs="Arial"/>
                <w:b/>
                <w:bCs/>
              </w:rPr>
              <w:t xml:space="preserve"> </w:t>
            </w:r>
          </w:p>
        </w:tc>
        <w:tc>
          <w:tcPr>
            <w:tcW w:w="6469" w:type="dxa"/>
          </w:tcPr>
          <w:p w14:paraId="68E435F4" w14:textId="77777777" w:rsidR="00745218" w:rsidRDefault="00745218" w:rsidP="00745218">
            <w:pPr>
              <w:contextualSpacing/>
              <w:rPr>
                <w:rFonts w:ascii="Arial" w:hAnsi="Arial" w:cs="Arial"/>
              </w:rPr>
            </w:pPr>
            <w:r w:rsidRPr="00A05034">
              <w:rPr>
                <w:rFonts w:ascii="Arial" w:hAnsi="Arial" w:cs="Arial"/>
              </w:rPr>
              <w:t xml:space="preserve">The UK Corporate Governance Code and the NHS Foundation Trust Code of Governance both state as a main principle of good governance that </w:t>
            </w:r>
            <w:r>
              <w:rPr>
                <w:rFonts w:ascii="Arial" w:hAnsi="Arial" w:cs="Arial"/>
              </w:rPr>
              <w:t xml:space="preserve">a board </w:t>
            </w:r>
            <w:r w:rsidRPr="00A05034">
              <w:rPr>
                <w:rFonts w:ascii="Arial" w:hAnsi="Arial" w:cs="Arial"/>
              </w:rPr>
              <w:t xml:space="preserve">should undertake a ‘formal and rigorous annual evaluation of its own performance and that of its committees and individual directors’. </w:t>
            </w:r>
          </w:p>
          <w:p w14:paraId="36F752FF" w14:textId="77777777" w:rsidR="00745218" w:rsidRDefault="00745218" w:rsidP="00745218">
            <w:pPr>
              <w:contextualSpacing/>
              <w:rPr>
                <w:rFonts w:ascii="Arial" w:hAnsi="Arial" w:cs="Arial"/>
              </w:rPr>
            </w:pPr>
          </w:p>
          <w:p w14:paraId="19E2545F" w14:textId="53AABD8A" w:rsidR="00745218" w:rsidRPr="00A05034" w:rsidRDefault="00745218" w:rsidP="00745218">
            <w:pPr>
              <w:contextualSpacing/>
              <w:rPr>
                <w:rFonts w:ascii="Arial" w:hAnsi="Arial" w:cs="Arial"/>
              </w:rPr>
            </w:pPr>
            <w:r w:rsidRPr="00A05034">
              <w:rPr>
                <w:rFonts w:ascii="Arial" w:hAnsi="Arial" w:cs="Arial"/>
              </w:rPr>
              <w:t xml:space="preserve">The </w:t>
            </w:r>
            <w:r>
              <w:rPr>
                <w:rFonts w:ascii="Arial" w:hAnsi="Arial" w:cs="Arial"/>
              </w:rPr>
              <w:t>Financial Reporting Council (</w:t>
            </w:r>
            <w:r w:rsidRPr="00A05034">
              <w:rPr>
                <w:rFonts w:ascii="Arial" w:hAnsi="Arial" w:cs="Arial"/>
              </w:rPr>
              <w:t>FRC</w:t>
            </w:r>
            <w:r>
              <w:rPr>
                <w:rFonts w:ascii="Arial" w:hAnsi="Arial" w:cs="Arial"/>
              </w:rPr>
              <w:t>)</w:t>
            </w:r>
            <w:r w:rsidRPr="00A05034">
              <w:rPr>
                <w:rFonts w:ascii="Arial" w:hAnsi="Arial" w:cs="Arial"/>
              </w:rPr>
              <w:t xml:space="preserve"> Guidance on Board Effectiveness states that ‘evaluation should be bespoke in its formulation and delivery’ and should consider the effectiveness of Board committees and how they are connected with the main Board. </w:t>
            </w:r>
          </w:p>
          <w:p w14:paraId="1ACB8B84" w14:textId="77777777" w:rsidR="00745218" w:rsidRPr="00A05034" w:rsidRDefault="00745218" w:rsidP="00745218">
            <w:pPr>
              <w:contextualSpacing/>
              <w:rPr>
                <w:rFonts w:ascii="Arial" w:hAnsi="Arial" w:cs="Arial"/>
              </w:rPr>
            </w:pPr>
          </w:p>
          <w:p w14:paraId="3B1FDC8A" w14:textId="45CD9757" w:rsidR="00745218" w:rsidRDefault="00745218" w:rsidP="00745218">
            <w:pPr>
              <w:rPr>
                <w:rFonts w:ascii="Arial" w:hAnsi="Arial" w:cs="Arial"/>
              </w:rPr>
            </w:pPr>
            <w:r w:rsidRPr="00A05034">
              <w:rPr>
                <w:rFonts w:ascii="Arial" w:hAnsi="Arial" w:cs="Arial"/>
              </w:rPr>
              <w:t>Board</w:t>
            </w:r>
            <w:r>
              <w:rPr>
                <w:rFonts w:ascii="Arial" w:hAnsi="Arial" w:cs="Arial"/>
              </w:rPr>
              <w:t xml:space="preserve">s </w:t>
            </w:r>
            <w:r w:rsidRPr="00A05034">
              <w:rPr>
                <w:rFonts w:ascii="Arial" w:hAnsi="Arial" w:cs="Arial"/>
              </w:rPr>
              <w:t>should be evaluated through comparison between what the committee is responsible for doing in its terms of reference and what it has actually done. To obtain practical value from the evaluation the findings of the effectiveness re</w:t>
            </w:r>
            <w:r>
              <w:rPr>
                <w:rFonts w:ascii="Arial" w:hAnsi="Arial" w:cs="Arial"/>
              </w:rPr>
              <w:t>view should be reported to the board and the b</w:t>
            </w:r>
            <w:r w:rsidRPr="00A05034">
              <w:rPr>
                <w:rFonts w:ascii="Arial" w:hAnsi="Arial" w:cs="Arial"/>
              </w:rPr>
              <w:t>oard should act on the findings if performance is not considered to be as good as it should be</w:t>
            </w:r>
          </w:p>
          <w:p w14:paraId="0521F169" w14:textId="77777777" w:rsidR="00745218" w:rsidRDefault="00745218" w:rsidP="00D9591F">
            <w:pPr>
              <w:rPr>
                <w:rFonts w:ascii="Arial" w:hAnsi="Arial" w:cs="Arial"/>
              </w:rPr>
            </w:pPr>
          </w:p>
          <w:p w14:paraId="4CEB5BA7" w14:textId="0C0C825B" w:rsidR="00F7070C" w:rsidRDefault="00F7070C" w:rsidP="00D9591F">
            <w:pPr>
              <w:rPr>
                <w:rFonts w:ascii="Arial" w:hAnsi="Arial" w:cs="Arial"/>
              </w:rPr>
            </w:pPr>
            <w:r>
              <w:rPr>
                <w:rFonts w:ascii="Arial" w:hAnsi="Arial" w:cs="Arial"/>
              </w:rPr>
              <w:t>In line with corporate governance good practice, ISAB will undertake a self-assessment annually. This will allow anonymous honest feedback, providing an opportunity for board development and maturing.</w:t>
            </w:r>
          </w:p>
          <w:p w14:paraId="7B21A687" w14:textId="54FE73F7" w:rsidR="00F7070C" w:rsidRDefault="00F7070C" w:rsidP="00D9591F">
            <w:pPr>
              <w:rPr>
                <w:rFonts w:ascii="Arial" w:hAnsi="Arial" w:cs="Arial"/>
              </w:rPr>
            </w:pPr>
          </w:p>
          <w:p w14:paraId="40B3AC5D" w14:textId="612EFAB8" w:rsidR="00F7070C" w:rsidRDefault="00590E88" w:rsidP="00D9591F">
            <w:pPr>
              <w:rPr>
                <w:rFonts w:ascii="Arial" w:hAnsi="Arial" w:cs="Arial"/>
              </w:rPr>
            </w:pPr>
            <w:r>
              <w:rPr>
                <w:rFonts w:ascii="Arial" w:hAnsi="Arial" w:cs="Arial"/>
              </w:rPr>
              <w:t xml:space="preserve">In order to undertake the self-assessment </w:t>
            </w:r>
            <w:r w:rsidR="00745218">
              <w:rPr>
                <w:rFonts w:ascii="Arial" w:hAnsi="Arial" w:cs="Arial"/>
              </w:rPr>
              <w:t>t</w:t>
            </w:r>
            <w:r>
              <w:rPr>
                <w:rFonts w:ascii="Arial" w:hAnsi="Arial" w:cs="Arial"/>
              </w:rPr>
              <w:t xml:space="preserve">here must be a baseline understanding to measure improvement or retraction. </w:t>
            </w:r>
            <w:r w:rsidR="00F7070C">
              <w:rPr>
                <w:rFonts w:ascii="Arial" w:hAnsi="Arial" w:cs="Arial"/>
              </w:rPr>
              <w:t xml:space="preserve">With the recent recruitment of a new board and </w:t>
            </w:r>
            <w:r>
              <w:rPr>
                <w:rFonts w:ascii="Arial" w:hAnsi="Arial" w:cs="Arial"/>
              </w:rPr>
              <w:t>style of board engagement, this is an ideal opportunity to undertake the initial asse</w:t>
            </w:r>
            <w:r w:rsidR="00745218">
              <w:rPr>
                <w:rFonts w:ascii="Arial" w:hAnsi="Arial" w:cs="Arial"/>
              </w:rPr>
              <w:t>ssment with a re-assessment in seven</w:t>
            </w:r>
            <w:r>
              <w:rPr>
                <w:rFonts w:ascii="Arial" w:hAnsi="Arial" w:cs="Arial"/>
              </w:rPr>
              <w:t xml:space="preserve"> months to then bring in line with the annual financial year audit.</w:t>
            </w:r>
          </w:p>
          <w:p w14:paraId="3B133CB5" w14:textId="6C0CCBCF" w:rsidR="00590E88" w:rsidRDefault="00590E88" w:rsidP="00D9591F">
            <w:pPr>
              <w:rPr>
                <w:rFonts w:ascii="Arial" w:hAnsi="Arial" w:cs="Arial"/>
              </w:rPr>
            </w:pPr>
          </w:p>
          <w:p w14:paraId="41F3BF28" w14:textId="55BBD315" w:rsidR="00590E88" w:rsidRDefault="00590E88" w:rsidP="00D9591F">
            <w:pPr>
              <w:rPr>
                <w:rFonts w:ascii="Arial" w:hAnsi="Arial" w:cs="Arial"/>
              </w:rPr>
            </w:pPr>
            <w:r>
              <w:rPr>
                <w:rFonts w:ascii="Arial" w:hAnsi="Arial" w:cs="Arial"/>
              </w:rPr>
              <w:t>The feedback for the audit will be presented to board in September 2025.</w:t>
            </w:r>
          </w:p>
          <w:p w14:paraId="21667B9C" w14:textId="6F50FEE3" w:rsidR="00F7070C" w:rsidRDefault="00F7070C" w:rsidP="00590E88">
            <w:pPr>
              <w:tabs>
                <w:tab w:val="left" w:pos="4425"/>
              </w:tabs>
              <w:rPr>
                <w:rFonts w:ascii="Arial" w:hAnsi="Arial" w:cs="Arial"/>
              </w:rPr>
            </w:pPr>
          </w:p>
          <w:p w14:paraId="3B88F2EB" w14:textId="6E06C33F" w:rsidR="00590E88" w:rsidRDefault="00590E88" w:rsidP="00590E88">
            <w:pPr>
              <w:rPr>
                <w:rFonts w:ascii="Arial" w:hAnsi="Arial" w:cs="Arial"/>
              </w:rPr>
            </w:pPr>
            <w:r>
              <w:rPr>
                <w:rFonts w:ascii="Arial" w:hAnsi="Arial" w:cs="Arial"/>
              </w:rPr>
              <w:t xml:space="preserve">The assessment form utilises the key components from the Good Governance Institute and governance audit control measure from the </w:t>
            </w:r>
            <w:r w:rsidRPr="00590E88">
              <w:t>Healthcare Financial Management Association</w:t>
            </w:r>
            <w:r>
              <w:t xml:space="preserve"> </w:t>
            </w:r>
            <w:r w:rsidRPr="00590E88">
              <w:rPr>
                <w:rFonts w:ascii="Arial" w:hAnsi="Arial" w:cs="Arial"/>
              </w:rPr>
              <w:t>(</w:t>
            </w:r>
            <w:r w:rsidRPr="00590E88">
              <w:t>HFMA</w:t>
            </w:r>
            <w:r w:rsidRPr="00590E88">
              <w:rPr>
                <w:rFonts w:ascii="Arial" w:hAnsi="Arial" w:cs="Arial"/>
              </w:rPr>
              <w:t>)</w:t>
            </w:r>
          </w:p>
          <w:p w14:paraId="147D3FDA" w14:textId="24073A55" w:rsidR="00590E88" w:rsidRDefault="00590E88" w:rsidP="00590E88">
            <w:pPr>
              <w:rPr>
                <w:rFonts w:ascii="Arial" w:hAnsi="Arial" w:cs="Arial"/>
              </w:rPr>
            </w:pPr>
          </w:p>
          <w:p w14:paraId="445581D5" w14:textId="6D2DD4D8" w:rsidR="00590E88" w:rsidRDefault="00590E88" w:rsidP="00590E88">
            <w:pPr>
              <w:rPr>
                <w:rFonts w:ascii="Arial" w:hAnsi="Arial" w:cs="Arial"/>
              </w:rPr>
            </w:pPr>
            <w:r w:rsidRPr="00590E88">
              <w:rPr>
                <w:rFonts w:ascii="Arial" w:hAnsi="Arial" w:cs="Arial"/>
                <w:b/>
              </w:rPr>
              <w:t>Recommendation</w:t>
            </w:r>
            <w:r>
              <w:rPr>
                <w:rFonts w:ascii="Arial" w:hAnsi="Arial" w:cs="Arial"/>
              </w:rPr>
              <w:t>:</w:t>
            </w:r>
          </w:p>
          <w:p w14:paraId="0B1C303D" w14:textId="002C5962" w:rsidR="00590E88" w:rsidRDefault="00590E88" w:rsidP="00590E88">
            <w:pPr>
              <w:rPr>
                <w:rFonts w:ascii="Arial" w:hAnsi="Arial" w:cs="Arial"/>
              </w:rPr>
            </w:pPr>
            <w:r>
              <w:rPr>
                <w:rFonts w:ascii="Arial" w:hAnsi="Arial" w:cs="Arial"/>
              </w:rPr>
              <w:t>That the board undertakes a self-assessme</w:t>
            </w:r>
            <w:r w:rsidR="00745218">
              <w:rPr>
                <w:rFonts w:ascii="Arial" w:hAnsi="Arial" w:cs="Arial"/>
              </w:rPr>
              <w:t xml:space="preserve">nt now with another assessment </w:t>
            </w:r>
            <w:r>
              <w:rPr>
                <w:rFonts w:ascii="Arial" w:hAnsi="Arial" w:cs="Arial"/>
              </w:rPr>
              <w:t>in march 2026</w:t>
            </w:r>
          </w:p>
          <w:p w14:paraId="50A80C87" w14:textId="219DBDD9" w:rsidR="00590E88" w:rsidRPr="00D636A5" w:rsidRDefault="00590E88" w:rsidP="00590E88">
            <w:pPr>
              <w:rPr>
                <w:rFonts w:ascii="Arial" w:hAnsi="Arial" w:cs="Arial"/>
              </w:rPr>
            </w:pPr>
          </w:p>
        </w:tc>
      </w:tr>
      <w:tr w:rsidR="00F03CF7" w:rsidRPr="00D636A5" w14:paraId="51E49459" w14:textId="77777777" w:rsidTr="00C12EFD">
        <w:tc>
          <w:tcPr>
            <w:tcW w:w="2547" w:type="dxa"/>
          </w:tcPr>
          <w:p w14:paraId="3BC11431" w14:textId="3BA4C234" w:rsidR="00F03CF7" w:rsidRPr="00D636A5" w:rsidRDefault="00F03CF7">
            <w:pPr>
              <w:rPr>
                <w:rFonts w:ascii="Arial" w:hAnsi="Arial" w:cs="Arial"/>
                <w:b/>
              </w:rPr>
            </w:pPr>
            <w:r w:rsidRPr="00D636A5">
              <w:rPr>
                <w:rFonts w:ascii="Arial" w:hAnsi="Arial" w:cs="Arial"/>
                <w:b/>
              </w:rPr>
              <w:t xml:space="preserve">Action </w:t>
            </w:r>
          </w:p>
        </w:tc>
        <w:tc>
          <w:tcPr>
            <w:tcW w:w="6469" w:type="dxa"/>
          </w:tcPr>
          <w:p w14:paraId="79306D78" w14:textId="406DA80B" w:rsidR="00590E88" w:rsidRPr="00D636A5" w:rsidRDefault="00BD672B" w:rsidP="00745218">
            <w:pPr>
              <w:rPr>
                <w:rFonts w:ascii="Arial" w:hAnsi="Arial" w:cs="Arial"/>
              </w:rPr>
            </w:pPr>
            <w:r w:rsidRPr="13CAF4D0">
              <w:rPr>
                <w:rFonts w:ascii="Arial" w:hAnsi="Arial" w:cs="Arial"/>
              </w:rPr>
              <w:t xml:space="preserve">ISAB </w:t>
            </w:r>
            <w:r w:rsidR="00B438B5" w:rsidRPr="13CAF4D0">
              <w:rPr>
                <w:rFonts w:ascii="Arial" w:hAnsi="Arial" w:cs="Arial"/>
              </w:rPr>
              <w:t xml:space="preserve">is asked to discuss and </w:t>
            </w:r>
            <w:r w:rsidR="00590E88">
              <w:rPr>
                <w:rFonts w:ascii="Arial" w:hAnsi="Arial" w:cs="Arial"/>
              </w:rPr>
              <w:t>agree</w:t>
            </w:r>
            <w:r w:rsidR="00B438B5" w:rsidRPr="13CAF4D0">
              <w:rPr>
                <w:rFonts w:ascii="Arial" w:hAnsi="Arial" w:cs="Arial"/>
              </w:rPr>
              <w:t xml:space="preserve"> the </w:t>
            </w:r>
            <w:r w:rsidR="00590E88">
              <w:rPr>
                <w:rFonts w:ascii="Arial" w:hAnsi="Arial" w:cs="Arial"/>
              </w:rPr>
              <w:t xml:space="preserve">recommendation. </w:t>
            </w:r>
          </w:p>
        </w:tc>
      </w:tr>
    </w:tbl>
    <w:p w14:paraId="696C0692" w14:textId="6472A0A2" w:rsidR="00A57B08" w:rsidRDefault="00A57B08">
      <w:pPr>
        <w:rPr>
          <w:rFonts w:ascii="Arial" w:hAnsi="Arial" w:cs="Arial"/>
        </w:rPr>
      </w:pPr>
    </w:p>
    <w:p w14:paraId="1A838BA0" w14:textId="17703834" w:rsidR="00D636A5" w:rsidRDefault="00D636A5">
      <w:pPr>
        <w:rPr>
          <w:rFonts w:ascii="Arial" w:hAnsi="Arial"/>
          <w:b/>
          <w:kern w:val="0"/>
          <w14:ligatures w14:val="none"/>
        </w:rPr>
      </w:pPr>
    </w:p>
    <w:sectPr w:rsidR="00D636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3270F" w14:textId="77777777" w:rsidR="00526158" w:rsidRDefault="00526158" w:rsidP="00D636A5">
      <w:pPr>
        <w:spacing w:after="0" w:line="240" w:lineRule="auto"/>
      </w:pPr>
      <w:r>
        <w:separator/>
      </w:r>
    </w:p>
  </w:endnote>
  <w:endnote w:type="continuationSeparator" w:id="0">
    <w:p w14:paraId="51BAB35F" w14:textId="77777777" w:rsidR="00526158" w:rsidRDefault="00526158" w:rsidP="00D6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935A0" w14:textId="77777777" w:rsidR="00526158" w:rsidRDefault="00526158" w:rsidP="00D636A5">
      <w:pPr>
        <w:spacing w:after="0" w:line="240" w:lineRule="auto"/>
      </w:pPr>
      <w:r>
        <w:separator/>
      </w:r>
    </w:p>
  </w:footnote>
  <w:footnote w:type="continuationSeparator" w:id="0">
    <w:p w14:paraId="245B5892" w14:textId="77777777" w:rsidR="00526158" w:rsidRDefault="00526158" w:rsidP="00D6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A135" w14:textId="1A077D89" w:rsidR="00D636A5" w:rsidRDefault="00D636A5">
    <w:pPr>
      <w:pStyle w:val="Header"/>
    </w:pPr>
    <w:r>
      <w:rPr>
        <w:noProof/>
        <w:lang w:eastAsia="en-GB"/>
      </w:rPr>
      <w:drawing>
        <wp:anchor distT="0" distB="0" distL="114300" distR="114300" simplePos="0" relativeHeight="251659264" behindDoc="0" locked="0" layoutInCell="1" allowOverlap="1" wp14:anchorId="2C67B555" wp14:editId="34200D29">
          <wp:simplePos x="0" y="0"/>
          <wp:positionH relativeFrom="margin">
            <wp:posOffset>3533775</wp:posOffset>
          </wp:positionH>
          <wp:positionV relativeFrom="paragraph">
            <wp:posOffset>-238125</wp:posOffset>
          </wp:positionV>
          <wp:extent cx="2441574" cy="695824"/>
          <wp:effectExtent l="0" t="0" r="0" b="9525"/>
          <wp:wrapNone/>
          <wp:docPr id="1"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29746" name="Picture 1" descr="A blue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2441574" cy="6958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54682"/>
    <w:multiLevelType w:val="hybridMultilevel"/>
    <w:tmpl w:val="79B48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9F299F"/>
    <w:multiLevelType w:val="hybridMultilevel"/>
    <w:tmpl w:val="FB0E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032BC"/>
    <w:multiLevelType w:val="hybridMultilevel"/>
    <w:tmpl w:val="321EF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6791496">
    <w:abstractNumId w:val="1"/>
  </w:num>
  <w:num w:numId="2" w16cid:durableId="502475360">
    <w:abstractNumId w:val="0"/>
  </w:num>
  <w:num w:numId="3" w16cid:durableId="197749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F7"/>
    <w:rsid w:val="000842DE"/>
    <w:rsid w:val="000915C3"/>
    <w:rsid w:val="00153C3E"/>
    <w:rsid w:val="00172C70"/>
    <w:rsid w:val="001E4CC3"/>
    <w:rsid w:val="00253880"/>
    <w:rsid w:val="00271ACB"/>
    <w:rsid w:val="002D25BD"/>
    <w:rsid w:val="00320648"/>
    <w:rsid w:val="003453DC"/>
    <w:rsid w:val="00385917"/>
    <w:rsid w:val="003E0AF4"/>
    <w:rsid w:val="00440319"/>
    <w:rsid w:val="004B36F8"/>
    <w:rsid w:val="004C6B2C"/>
    <w:rsid w:val="004D1AA3"/>
    <w:rsid w:val="004F5AA4"/>
    <w:rsid w:val="0051444B"/>
    <w:rsid w:val="00526158"/>
    <w:rsid w:val="00534840"/>
    <w:rsid w:val="00541D4D"/>
    <w:rsid w:val="00590E88"/>
    <w:rsid w:val="005D075B"/>
    <w:rsid w:val="006079AF"/>
    <w:rsid w:val="00613BB2"/>
    <w:rsid w:val="00616C4B"/>
    <w:rsid w:val="006508D9"/>
    <w:rsid w:val="0067156D"/>
    <w:rsid w:val="006E794F"/>
    <w:rsid w:val="00705EB4"/>
    <w:rsid w:val="00745218"/>
    <w:rsid w:val="00751466"/>
    <w:rsid w:val="007814D4"/>
    <w:rsid w:val="007931C6"/>
    <w:rsid w:val="007B2053"/>
    <w:rsid w:val="008367F1"/>
    <w:rsid w:val="00844FA6"/>
    <w:rsid w:val="00895479"/>
    <w:rsid w:val="008F7631"/>
    <w:rsid w:val="00902EF6"/>
    <w:rsid w:val="00937507"/>
    <w:rsid w:val="009475F8"/>
    <w:rsid w:val="00967F3D"/>
    <w:rsid w:val="00990811"/>
    <w:rsid w:val="009E40E0"/>
    <w:rsid w:val="00A14A84"/>
    <w:rsid w:val="00A57B08"/>
    <w:rsid w:val="00A86123"/>
    <w:rsid w:val="00AE5374"/>
    <w:rsid w:val="00B438B5"/>
    <w:rsid w:val="00BB5A01"/>
    <w:rsid w:val="00BD2959"/>
    <w:rsid w:val="00BD672B"/>
    <w:rsid w:val="00C00220"/>
    <w:rsid w:val="00C12EFD"/>
    <w:rsid w:val="00C57A4B"/>
    <w:rsid w:val="00C60942"/>
    <w:rsid w:val="00C60E1A"/>
    <w:rsid w:val="00C85FBF"/>
    <w:rsid w:val="00C90790"/>
    <w:rsid w:val="00CA619E"/>
    <w:rsid w:val="00CC3EB0"/>
    <w:rsid w:val="00CD4886"/>
    <w:rsid w:val="00D636A5"/>
    <w:rsid w:val="00D95431"/>
    <w:rsid w:val="00D9591F"/>
    <w:rsid w:val="00E248F9"/>
    <w:rsid w:val="00E5058A"/>
    <w:rsid w:val="00E74EAB"/>
    <w:rsid w:val="00E85AD0"/>
    <w:rsid w:val="00F03CF7"/>
    <w:rsid w:val="00F326AF"/>
    <w:rsid w:val="00F3571B"/>
    <w:rsid w:val="00F7070C"/>
    <w:rsid w:val="00F76E56"/>
    <w:rsid w:val="13CAF4D0"/>
    <w:rsid w:val="52C35831"/>
    <w:rsid w:val="5E42CE53"/>
    <w:rsid w:val="622053E3"/>
    <w:rsid w:val="71E2EEB9"/>
    <w:rsid w:val="7594C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A85C"/>
  <w15:chartTrackingRefBased/>
  <w15:docId w15:val="{D10F7DC0-1123-4B36-A9E9-8CE5B1F5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CF7"/>
    <w:rPr>
      <w:rFonts w:eastAsiaTheme="majorEastAsia" w:cstheme="majorBidi"/>
      <w:color w:val="272727" w:themeColor="text1" w:themeTint="D8"/>
    </w:rPr>
  </w:style>
  <w:style w:type="paragraph" w:styleId="Title">
    <w:name w:val="Title"/>
    <w:basedOn w:val="Normal"/>
    <w:next w:val="Normal"/>
    <w:link w:val="TitleChar"/>
    <w:uiPriority w:val="10"/>
    <w:qFormat/>
    <w:rsid w:val="00F03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CF7"/>
    <w:pPr>
      <w:spacing w:before="160"/>
      <w:jc w:val="center"/>
    </w:pPr>
    <w:rPr>
      <w:i/>
      <w:iCs/>
      <w:color w:val="404040" w:themeColor="text1" w:themeTint="BF"/>
    </w:rPr>
  </w:style>
  <w:style w:type="character" w:customStyle="1" w:styleId="QuoteChar">
    <w:name w:val="Quote Char"/>
    <w:basedOn w:val="DefaultParagraphFont"/>
    <w:link w:val="Quote"/>
    <w:uiPriority w:val="29"/>
    <w:rsid w:val="00F03CF7"/>
    <w:rPr>
      <w:i/>
      <w:iCs/>
      <w:color w:val="404040" w:themeColor="text1" w:themeTint="BF"/>
    </w:rPr>
  </w:style>
  <w:style w:type="paragraph" w:styleId="ListParagraph">
    <w:name w:val="List Paragraph"/>
    <w:basedOn w:val="Normal"/>
    <w:uiPriority w:val="34"/>
    <w:qFormat/>
    <w:rsid w:val="00F03CF7"/>
    <w:pPr>
      <w:ind w:left="720"/>
      <w:contextualSpacing/>
    </w:pPr>
  </w:style>
  <w:style w:type="character" w:styleId="IntenseEmphasis">
    <w:name w:val="Intense Emphasis"/>
    <w:basedOn w:val="DefaultParagraphFont"/>
    <w:uiPriority w:val="21"/>
    <w:qFormat/>
    <w:rsid w:val="00F03CF7"/>
    <w:rPr>
      <w:i/>
      <w:iCs/>
      <w:color w:val="0F4761" w:themeColor="accent1" w:themeShade="BF"/>
    </w:rPr>
  </w:style>
  <w:style w:type="paragraph" w:styleId="IntenseQuote">
    <w:name w:val="Intense Quote"/>
    <w:basedOn w:val="Normal"/>
    <w:next w:val="Normal"/>
    <w:link w:val="IntenseQuoteChar"/>
    <w:uiPriority w:val="30"/>
    <w:qFormat/>
    <w:rsid w:val="00F0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CF7"/>
    <w:rPr>
      <w:i/>
      <w:iCs/>
      <w:color w:val="0F4761" w:themeColor="accent1" w:themeShade="BF"/>
    </w:rPr>
  </w:style>
  <w:style w:type="character" w:styleId="IntenseReference">
    <w:name w:val="Intense Reference"/>
    <w:basedOn w:val="DefaultParagraphFont"/>
    <w:uiPriority w:val="32"/>
    <w:qFormat/>
    <w:rsid w:val="00F03CF7"/>
    <w:rPr>
      <w:b/>
      <w:bCs/>
      <w:smallCaps/>
      <w:color w:val="0F4761" w:themeColor="accent1" w:themeShade="BF"/>
      <w:spacing w:val="5"/>
    </w:rPr>
  </w:style>
  <w:style w:type="table" w:styleId="TableGrid">
    <w:name w:val="Table Grid"/>
    <w:basedOn w:val="TableNormal"/>
    <w:uiPriority w:val="39"/>
    <w:rsid w:val="00F0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A5"/>
  </w:style>
  <w:style w:type="paragraph" w:styleId="Footer">
    <w:name w:val="footer"/>
    <w:basedOn w:val="Normal"/>
    <w:link w:val="FooterChar"/>
    <w:uiPriority w:val="99"/>
    <w:unhideWhenUsed/>
    <w:rsid w:val="00D63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A5"/>
  </w:style>
  <w:style w:type="paragraph" w:styleId="NoSpacing">
    <w:name w:val="No Spacing"/>
    <w:uiPriority w:val="1"/>
    <w:qFormat/>
    <w:rsid w:val="00D636A5"/>
    <w:pPr>
      <w:spacing w:after="0" w:line="240" w:lineRule="auto"/>
    </w:pPr>
    <w:rPr>
      <w:rFonts w:ascii="Arial" w:hAnsi="Arial"/>
      <w:kern w:val="0"/>
      <w14:ligatures w14:val="none"/>
    </w:rPr>
  </w:style>
  <w:style w:type="paragraph" w:styleId="BalloonText">
    <w:name w:val="Balloon Text"/>
    <w:basedOn w:val="Normal"/>
    <w:link w:val="BalloonTextChar"/>
    <w:uiPriority w:val="99"/>
    <w:semiHidden/>
    <w:unhideWhenUsed/>
    <w:rsid w:val="00D63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A5"/>
    <w:rPr>
      <w:rFonts w:ascii="Segoe UI" w:hAnsi="Segoe UI" w:cs="Segoe UI"/>
      <w:sz w:val="18"/>
      <w:szCs w:val="18"/>
    </w:rPr>
  </w:style>
  <w:style w:type="character" w:styleId="Emphasis">
    <w:name w:val="Emphasis"/>
    <w:basedOn w:val="DefaultParagraphFont"/>
    <w:uiPriority w:val="20"/>
    <w:qFormat/>
    <w:rsid w:val="00590E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Freda</dc:creator>
  <cp:keywords/>
  <dc:description/>
  <cp:lastModifiedBy>Abbey Barlow</cp:lastModifiedBy>
  <cp:revision>2</cp:revision>
  <dcterms:created xsi:type="dcterms:W3CDTF">2025-09-11T15:20:00Z</dcterms:created>
  <dcterms:modified xsi:type="dcterms:W3CDTF">2025-09-11T15:20:00Z</dcterms:modified>
</cp:coreProperties>
</file>